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E" w:rsidRDefault="00062E7E">
      <w:pPr>
        <w:pStyle w:val="a3"/>
        <w:spacing w:before="5"/>
        <w:rPr>
          <w:rFonts w:ascii="Times New Roman"/>
          <w:sz w:val="18"/>
        </w:rPr>
      </w:pPr>
    </w:p>
    <w:p w:rsidR="00D13A00" w:rsidRDefault="00A83C5D">
      <w:pPr>
        <w:pStyle w:val="a4"/>
        <w:spacing w:line="242" w:lineRule="auto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2835910</wp:posOffset>
            </wp:positionH>
            <wp:positionV relativeFrom="page">
              <wp:posOffset>309880</wp:posOffset>
            </wp:positionV>
            <wp:extent cx="1941830" cy="977900"/>
            <wp:effectExtent l="19050" t="0" r="1270" b="0"/>
            <wp:wrapNone/>
            <wp:docPr id="24" name="Рисунок 24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A00" w:rsidRDefault="00D13A00" w:rsidP="00D13A00">
      <w:pPr>
        <w:pStyle w:val="a4"/>
        <w:spacing w:line="242" w:lineRule="auto"/>
        <w:jc w:val="center"/>
      </w:pPr>
    </w:p>
    <w:p w:rsidR="00D13A00" w:rsidRDefault="00D13A00">
      <w:pPr>
        <w:pStyle w:val="a4"/>
        <w:spacing w:line="242" w:lineRule="auto"/>
      </w:pPr>
    </w:p>
    <w:p w:rsidR="00062E7E" w:rsidRDefault="0002489E">
      <w:pPr>
        <w:pStyle w:val="a4"/>
        <w:spacing w:line="242" w:lineRule="auto"/>
      </w:pPr>
      <w:r>
        <w:t>Информация об условиях предоставления, использования и возврата потребительского кредита</w:t>
      </w:r>
    </w:p>
    <w:tbl>
      <w:tblPr>
        <w:tblStyle w:val="TableNormal"/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9"/>
        <w:gridCol w:w="3776"/>
        <w:gridCol w:w="6237"/>
      </w:tblGrid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97"/>
              <w:ind w:left="10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before="97"/>
              <w:ind w:left="2190" w:right="2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</w:tr>
      <w:tr w:rsidR="00062E7E" w:rsidRPr="007A209A" w:rsidTr="007B3F0A">
        <w:trPr>
          <w:trHeight w:val="183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кредитора, место нахождения постоянно действующего  исполнительного органа, контактный телефон, по которому осуществляется связь с кредитором, официальный сайт, номер лицензии на осуществление банковских</w:t>
            </w:r>
            <w:r w:rsidRPr="007A209A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операций.</w:t>
            </w:r>
          </w:p>
        </w:tc>
        <w:tc>
          <w:tcPr>
            <w:tcW w:w="2933" w:type="pct"/>
          </w:tcPr>
          <w:p w:rsidR="00062E7E" w:rsidRPr="007A209A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Коммерческий </w:t>
            </w:r>
            <w:r w:rsidR="006417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417E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анк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C33DE" w:rsidRPr="00CC33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</w:t>
            </w:r>
            <w:r w:rsidR="00CC33DE" w:rsidRPr="00CC33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Банк)</w:t>
            </w:r>
          </w:p>
          <w:p w:rsidR="00062E7E" w:rsidRPr="007A209A" w:rsidRDefault="0002489E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Российская Федерация, </w:t>
            </w:r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127051, г. Москва, 1-ый </w:t>
            </w:r>
            <w:proofErr w:type="spellStart"/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>Колобовский</w:t>
            </w:r>
            <w:proofErr w:type="spellEnd"/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переулок, д. 23</w:t>
            </w:r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Телефон: +7 (495) 650-90-03</w:t>
            </w:r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Факс: +7 (495) 694-03-86</w:t>
            </w:r>
          </w:p>
          <w:p w:rsidR="00F337A2" w:rsidRPr="007A209A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F337A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F337A2">
                <w:rPr>
                  <w:rFonts w:ascii="Times New Roman" w:hAnsi="Times New Roman" w:cs="Times New Roman"/>
                  <w:sz w:val="18"/>
                  <w:szCs w:val="18"/>
                </w:rPr>
                <w:t>bank@gibank.ru</w:t>
              </w:r>
            </w:hyperlink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gibank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2E7E" w:rsidRPr="007A209A" w:rsidRDefault="007B3F0A" w:rsidP="007B3F0A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ицензия Банка России №</w:t>
            </w:r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>2576 от 24.10.2014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443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37"/>
              <w:ind w:left="108" w:right="9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 к заемщику, выполнение которых является обязательным для предоставления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Гражданство Российской</w:t>
            </w:r>
            <w:r w:rsidRPr="007A20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Федерации.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Возраст:</w:t>
            </w:r>
          </w:p>
          <w:p w:rsidR="00DF3577" w:rsidRPr="007A209A" w:rsidRDefault="00DF3577" w:rsidP="00B77C1C">
            <w:pPr>
              <w:pStyle w:val="TableParagraph"/>
              <w:tabs>
                <w:tab w:val="left" w:pos="141"/>
              </w:tabs>
              <w:spacing w:line="206" w:lineRule="exact"/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На момент заключения кредитного договора</w:t>
            </w:r>
            <w:r w:rsidR="001F380F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потенциальному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Заемщику должно быть не менее 20 и не более 55 лет (для женщин) и 60 лет (для мужчин). 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E7E" w:rsidRPr="007A209A" w:rsidRDefault="00DF3577" w:rsidP="00B77C1C">
            <w:pPr>
              <w:pStyle w:val="TableParagraph"/>
              <w:numPr>
                <w:ilvl w:val="0"/>
                <w:numId w:val="7"/>
              </w:numPr>
              <w:tabs>
                <w:tab w:val="left" w:pos="141"/>
                <w:tab w:val="left" w:pos="283"/>
              </w:tabs>
              <w:spacing w:line="206" w:lineRule="exact"/>
              <w:ind w:left="317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 к регистрации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2E7E" w:rsidRPr="007A209A" w:rsidRDefault="0002489E" w:rsidP="00B77C1C">
            <w:pPr>
              <w:pStyle w:val="TableParagraph"/>
              <w:tabs>
                <w:tab w:val="left" w:pos="283"/>
              </w:tabs>
              <w:spacing w:before="4" w:line="235" w:lineRule="auto"/>
              <w:ind w:left="282" w:right="95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постоянной регистрации 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Требования к 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стажу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DF3577" w:rsidRPr="007A209A" w:rsidRDefault="005D4F43" w:rsidP="00B77C1C">
            <w:pPr>
              <w:widowControl/>
              <w:tabs>
                <w:tab w:val="left" w:pos="283"/>
                <w:tab w:val="left" w:pos="851"/>
              </w:tabs>
              <w:autoSpaceDE/>
              <w:autoSpaceDN/>
              <w:ind w:left="317" w:right="113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родолжительность непрерывного стажа работы (на текущем месте работы) не менее 6 месяцев. 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Дополнительные</w:t>
            </w: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требования:</w:t>
            </w:r>
          </w:p>
          <w:p w:rsidR="001F380F" w:rsidRPr="007A209A" w:rsidRDefault="001F380F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Кредит предоставляется после предоставления потенциальным Заемщиком полного пакета документов на предоставление кредита, проведения анализа финансового положения, предлагаемого им обеспечения, осуществления проверки достоверности данных, предоставленных Заемщиком о себе, кредитной истории, если ранее предоставлялись кредиты в Банке и/или иных кредитных организациях. </w:t>
            </w:r>
          </w:p>
          <w:p w:rsidR="00062E7E" w:rsidRDefault="001F380F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Кредит Заемщику предоставляется только в случае наличия у Заемщика финансовых возможностей  исполнять свои обязательства перед Банком. </w:t>
            </w:r>
          </w:p>
          <w:p w:rsidR="00D609B1" w:rsidRPr="00CB5C22" w:rsidRDefault="005D4F43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Предоставление в Банк документов, подтверждающих целевое использование кредита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данное требование не распространяется на 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потребительски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креди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ты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виде «овердрафт» с использованием банковских карт)</w:t>
            </w: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3813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Сроки рассмотрения оформленного заемщиком заявления о предоставлении потребительского кредита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заемщика.</w:t>
            </w:r>
          </w:p>
        </w:tc>
        <w:tc>
          <w:tcPr>
            <w:tcW w:w="2933" w:type="pct"/>
          </w:tcPr>
          <w:p w:rsidR="00EE4D23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Срок рассмотрения заявки на кредит – </w:t>
            </w:r>
            <w:r w:rsidR="00C813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E4D23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течение 7 рабочих дней с момента подачи заявки в Банк.</w:t>
            </w:r>
          </w:p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документов: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Заявление на кредит (по форме Банка,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Анкета заемщика (по форме Банка,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на бланке организации (подтверждающая место работы, должность Заемщика, период последнего места работы,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 доходах </w:t>
            </w:r>
            <w:r w:rsidR="00A66E72">
              <w:rPr>
                <w:rFonts w:ascii="Times New Roman" w:hAnsi="Times New Roman" w:cs="Times New Roman"/>
                <w:sz w:val="18"/>
                <w:szCs w:val="18"/>
              </w:rPr>
              <w:t xml:space="preserve">и суммах налога </w:t>
            </w:r>
            <w:r w:rsidR="00A66E72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лица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(оригинал)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и (или) декларация о доходах, заверенная налоговым органом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При наличии активов: банковский счет, пластиковые карты, ценные бумаги, транспортные средства, недвижимость (оригиналы соответствующих документов или копии, удостоверенные Заемщиком).</w:t>
            </w:r>
          </w:p>
          <w:p w:rsidR="00E81016" w:rsidRDefault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Другие документы:</w:t>
            </w:r>
          </w:p>
          <w:p w:rsidR="00062E7E" w:rsidRDefault="00F4217F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документов, подтверждающих другие доходы заемщика: доходы от арендной платы, дивиденды, доходы от ценных бумаг и иные аналогичные доходы (оригиналы соответствующих документов или копии, удостоверенные Заемщиком). </w:t>
            </w:r>
          </w:p>
          <w:p w:rsidR="004E32F7" w:rsidRDefault="004E32F7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2F7" w:rsidRPr="007A209A" w:rsidRDefault="002D2FE8" w:rsidP="002D2FE8">
            <w:pPr>
              <w:pStyle w:val="TableParagraph"/>
              <w:spacing w:line="20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Срок рассмотрения заявки на кредит в виде «овердрафт» с использованием банковских карт</w:t>
            </w:r>
            <w:r w:rsidR="004E32F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32F7">
              <w:rPr>
                <w:rFonts w:ascii="Times New Roman" w:hAnsi="Times New Roman" w:cs="Times New Roman"/>
                <w:sz w:val="18"/>
                <w:szCs w:val="18"/>
              </w:rPr>
              <w:t xml:space="preserve"> течение 5</w:t>
            </w:r>
            <w:r w:rsidR="004E32F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подачи заявки в Банк.</w:t>
            </w:r>
          </w:p>
          <w:p w:rsidR="00D609B1" w:rsidRDefault="00D609B1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для предоставления потребительского кредита в виде «овердрафт» с использованием банковских карт:</w:t>
            </w:r>
          </w:p>
          <w:p w:rsidR="00E024D5" w:rsidRDefault="00D609B1" w:rsidP="00E024D5">
            <w:pPr>
              <w:pStyle w:val="a5"/>
              <w:numPr>
                <w:ilvl w:val="0"/>
                <w:numId w:val="17"/>
              </w:numPr>
              <w:adjustRightInd w:val="0"/>
              <w:spacing w:before="0"/>
              <w:ind w:left="708" w:right="113" w:hanging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Заявление на кредит (по форме Банка, оригинал)</w:t>
            </w:r>
          </w:p>
          <w:p w:rsidR="00E024D5" w:rsidRDefault="00D609B1" w:rsidP="00A66E72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 доходах </w:t>
            </w:r>
            <w:r w:rsidR="00A66E72">
              <w:rPr>
                <w:rFonts w:ascii="Times New Roman" w:hAnsi="Times New Roman" w:cs="Times New Roman"/>
                <w:sz w:val="18"/>
                <w:szCs w:val="18"/>
              </w:rPr>
              <w:t xml:space="preserve">и суммах налога </w:t>
            </w:r>
            <w:r w:rsidR="00A66E72" w:rsidRPr="007A209A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 (оригинал) и (или) декларация о доходах, заверенная налоговым органом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другие к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опии документов, подтверждающих другие доходы заемщика: доходы от арендной платы, дивиденды, доходы от ценных бумаг и иные аналогичные доходы (оригиналы соответствующих документов или копии, удостоверенные Заемщиком)</w:t>
            </w:r>
            <w:proofErr w:type="gramEnd"/>
          </w:p>
        </w:tc>
      </w:tr>
      <w:tr w:rsidR="00062E7E" w:rsidRPr="007A209A" w:rsidTr="007B3F0A">
        <w:trPr>
          <w:trHeight w:val="545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Виды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F86334" w:rsidP="006A167C">
            <w:pPr>
              <w:widowControl/>
              <w:adjustRightInd w:val="0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редит</w:t>
            </w:r>
            <w:r w:rsidR="0077441A">
              <w:rPr>
                <w:rFonts w:ascii="Times New Roman" w:hAnsi="Times New Roman" w:cs="Times New Roman"/>
                <w:sz w:val="18"/>
                <w:szCs w:val="18"/>
              </w:rPr>
              <w:t xml:space="preserve">, кредитная линия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на потребительские нужды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167C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не связанные с осуществлением предпринимательской деятельности,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 xml:space="preserve"> кредит в виде «овердрафт» с использованием банковских карт</w:t>
            </w:r>
          </w:p>
        </w:tc>
      </w:tr>
      <w:tr w:rsidR="00062E7E" w:rsidRPr="007A209A" w:rsidTr="007B3F0A">
        <w:trPr>
          <w:trHeight w:val="192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6" w:type="pct"/>
          </w:tcPr>
          <w:p w:rsidR="00062E7E" w:rsidRPr="007A209A" w:rsidRDefault="0002489E" w:rsidP="007B3F0A">
            <w:pPr>
              <w:pStyle w:val="TableParagraph"/>
              <w:ind w:left="108" w:right="13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Суммы потребительского кредита и сроки его возврата.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Сумма кредита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6334" w:rsidRPr="007A209A" w:rsidRDefault="00F86334" w:rsidP="00A366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минимальная сумма кредита:</w:t>
            </w:r>
          </w:p>
          <w:p w:rsidR="00F86334" w:rsidRPr="007A209A" w:rsidRDefault="004111F6" w:rsidP="00A83C5D">
            <w:pPr>
              <w:widowControl/>
              <w:autoSpaceDE/>
              <w:autoSpaceDN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proofErr w:type="spellEnd"/>
            <w:r w:rsidR="00F86334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рублей РФ  или эквивалент в валюте; </w:t>
            </w:r>
          </w:p>
          <w:p w:rsidR="00F86334" w:rsidRPr="007A209A" w:rsidRDefault="00F86334" w:rsidP="00A366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максимальная сумма кредита:</w:t>
            </w:r>
          </w:p>
          <w:p w:rsidR="00F86334" w:rsidRPr="007A209A" w:rsidRDefault="00F86334" w:rsidP="00A83C5D">
            <w:pPr>
              <w:pStyle w:val="TableParagraph"/>
              <w:spacing w:line="207" w:lineRule="exact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- ограничена размером обеспечения на дату выдачи кредита, причем 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кредита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начисленные проценты за весь период кредитования не должны быть больше размера обеспечения с учетом дисконта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>, применяемого Банком к обеспечению, согласно внутренним нормативным документам Банка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E7E" w:rsidRPr="007A209A" w:rsidRDefault="0002489E">
            <w:pPr>
              <w:pStyle w:val="TableParagraph"/>
              <w:spacing w:before="2" w:line="207" w:lineRule="exact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кредита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2E7E" w:rsidRDefault="00EA5BA8" w:rsidP="00EA5BA8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6E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до </w:t>
            </w:r>
            <w:r w:rsidR="00A75690">
              <w:rPr>
                <w:rFonts w:ascii="Times New Roman" w:hAnsi="Times New Roman" w:cs="Times New Roman"/>
                <w:sz w:val="18"/>
                <w:szCs w:val="18"/>
              </w:rPr>
              <w:t>36 месяцев</w:t>
            </w:r>
          </w:p>
          <w:p w:rsidR="002D2FE8" w:rsidRDefault="002D2FE8" w:rsidP="00EA5BA8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4D5" w:rsidRDefault="002D2FE8" w:rsidP="002D2FE8">
            <w:pPr>
              <w:pStyle w:val="TableParagraph"/>
              <w:spacing w:line="18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Сумма потребительского кредита в виде «овердрафт» с использованием банковских карт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Тарифами на выдачу и обслуживание банковских карт КБ «</w:t>
            </w:r>
            <w:proofErr w:type="spellStart"/>
            <w:r w:rsidR="00D609B1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="00D609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41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>(АО).</w:t>
            </w:r>
          </w:p>
          <w:p w:rsidR="00E024D5" w:rsidRPr="00E024D5" w:rsidRDefault="002F0E86" w:rsidP="002D2FE8">
            <w:pPr>
              <w:ind w:left="141" w:right="142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Срок кредитования – период с даты начала предоставления овердрафта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даты прекращения предоставления денежных сре</w:t>
            </w:r>
            <w:proofErr w:type="gramStart"/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амках настоящего договора. Максимальный Срок кредитования 360 календарных дней. </w:t>
            </w:r>
          </w:p>
          <w:p w:rsidR="00E024D5" w:rsidRDefault="00E024D5" w:rsidP="002D2FE8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Срок возврата овердрафта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период до окончания 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рока кредитования плюс 30 дней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76" w:type="pct"/>
          </w:tcPr>
          <w:p w:rsidR="00062E7E" w:rsidRPr="007A209A" w:rsidRDefault="00FA2A02" w:rsidP="00FA2A02">
            <w:pPr>
              <w:pStyle w:val="TableParagraph"/>
              <w:tabs>
                <w:tab w:val="left" w:pos="1276"/>
                <w:tab w:val="left" w:pos="1818"/>
                <w:tab w:val="left" w:pos="2945"/>
              </w:tabs>
              <w:spacing w:before="1" w:line="208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Виды в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алют,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которых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предоставляется</w:t>
            </w:r>
            <w:r w:rsidR="005B068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потребительский</w:t>
            </w:r>
            <w:r w:rsidR="0002489E"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кредит.</w:t>
            </w:r>
          </w:p>
        </w:tc>
        <w:tc>
          <w:tcPr>
            <w:tcW w:w="2933" w:type="pct"/>
          </w:tcPr>
          <w:p w:rsidR="00062E7E" w:rsidRPr="007A209A" w:rsidRDefault="00F86334">
            <w:pPr>
              <w:pStyle w:val="TableParagraph"/>
              <w:spacing w:befor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рубли РФ, доллары США, евро</w:t>
            </w:r>
          </w:p>
        </w:tc>
      </w:tr>
      <w:tr w:rsidR="00062E7E" w:rsidRPr="007A209A" w:rsidTr="007B3F0A">
        <w:trPr>
          <w:trHeight w:val="410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76" w:type="pct"/>
          </w:tcPr>
          <w:p w:rsidR="00062E7E" w:rsidRPr="007A209A" w:rsidRDefault="0002489E" w:rsidP="005B0683">
            <w:pPr>
              <w:pStyle w:val="TableParagraph"/>
              <w:tabs>
                <w:tab w:val="left" w:pos="1189"/>
                <w:tab w:val="left" w:pos="2890"/>
              </w:tabs>
              <w:spacing w:line="206" w:lineRule="exact"/>
              <w:ind w:left="108" w:right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предоставления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потребительского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кредита</w:t>
            </w:r>
          </w:p>
        </w:tc>
        <w:tc>
          <w:tcPr>
            <w:tcW w:w="2933" w:type="pct"/>
          </w:tcPr>
          <w:p w:rsidR="00062E7E" w:rsidRPr="007A209A" w:rsidRDefault="0002489E" w:rsidP="005B0683">
            <w:pPr>
              <w:pStyle w:val="TableParagraph"/>
              <w:spacing w:line="206" w:lineRule="exact"/>
              <w:ind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Безналичное зачисление суммы кредита на текущий счёт </w:t>
            </w:r>
            <w:r w:rsidR="00B6383D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заемщика, 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6383D" w:rsidRPr="007A209A">
              <w:rPr>
                <w:rFonts w:ascii="Times New Roman" w:hAnsi="Times New Roman" w:cs="Times New Roman"/>
                <w:sz w:val="18"/>
                <w:szCs w:val="18"/>
              </w:rPr>
              <w:t>ткрытый в Банке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828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76" w:type="pct"/>
          </w:tcPr>
          <w:p w:rsidR="00062E7E" w:rsidRPr="007A209A" w:rsidRDefault="0002489E" w:rsidP="00230511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Процентные ставки в процентах годовых, а при применении переменных процентных ставок – порядок их определения, соответствующий</w:t>
            </w:r>
            <w:r w:rsidR="00230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требованиям Федерального закона № 353-Ф</w:t>
            </w:r>
            <w:r w:rsidR="00B6383D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933" w:type="pct"/>
          </w:tcPr>
          <w:p w:rsidR="00B6383D" w:rsidRPr="007A209A" w:rsidRDefault="00B6383D" w:rsidP="00B6383D">
            <w:pPr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% годовых в рублях; </w:t>
            </w:r>
            <w:proofErr w:type="gramEnd"/>
          </w:p>
          <w:p w:rsidR="00B6383D" w:rsidRPr="007A209A" w:rsidRDefault="00B6383D" w:rsidP="00B6383D">
            <w:pPr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от  6,0% 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годовых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в долларах США </w:t>
            </w:r>
          </w:p>
          <w:p w:rsidR="00B6383D" w:rsidRPr="007A209A" w:rsidRDefault="00B6383D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от  5,0%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годовых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в евро </w:t>
            </w:r>
            <w:proofErr w:type="gramEnd"/>
          </w:p>
          <w:p w:rsidR="00062E7E" w:rsidRDefault="0002489E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Переменные процентные ставки – не применимо.</w:t>
            </w:r>
          </w:p>
          <w:p w:rsidR="00230511" w:rsidRDefault="00230511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511" w:rsidRPr="007A209A" w:rsidRDefault="00230511" w:rsidP="00230511">
            <w:pPr>
              <w:pStyle w:val="TableParagraph"/>
              <w:spacing w:line="20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Процентные ставки по потребительским кредитам в виде «овердрафт» с использованием банковских карт определены Тарифами на выдачу и обслуживание банковских карт КБ «</w:t>
            </w:r>
            <w:proofErr w:type="spellStart"/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Гарант-Инвест</w:t>
            </w:r>
            <w:proofErr w:type="spellEnd"/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="004846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(АО).</w:t>
            </w:r>
          </w:p>
        </w:tc>
      </w:tr>
      <w:tr w:rsidR="00062E7E" w:rsidRPr="007A209A" w:rsidTr="007B3F0A">
        <w:trPr>
          <w:trHeight w:val="8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"/>
              <w:ind w:left="108" w:right="1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Дата, начиная с которой начисляются проценты за пользование потребительским кредитом, или порядок ее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определения.</w:t>
            </w:r>
          </w:p>
        </w:tc>
        <w:tc>
          <w:tcPr>
            <w:tcW w:w="2933" w:type="pct"/>
          </w:tcPr>
          <w:p w:rsidR="00062E7E" w:rsidRPr="007A209A" w:rsidRDefault="0002489E" w:rsidP="00686ECB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Начисление процентов за пользование Кредитом производится на остаток основного долга (за исключением просроченного основного долга) на начало дня с даты, следующей за датой выдачи кредита, по дату погашения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Кредита включительно.</w:t>
            </w:r>
          </w:p>
        </w:tc>
      </w:tr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Виды и суммы иных платежей заемщика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befor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62E7E" w:rsidRPr="007A209A" w:rsidTr="007B3F0A">
        <w:trPr>
          <w:trHeight w:val="827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2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Диапазоны значений полной стоимости потребительского кредита в процентах годовых, определенных с учетом требований Федерального закона №</w:t>
            </w:r>
            <w:r w:rsidRPr="007A209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353-ФЗ.</w:t>
            </w:r>
          </w:p>
        </w:tc>
        <w:tc>
          <w:tcPr>
            <w:tcW w:w="2933" w:type="pct"/>
          </w:tcPr>
          <w:p w:rsidR="00062E7E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>от 18</w:t>
            </w:r>
            <w:r w:rsidR="00D132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 рублях</w:t>
            </w:r>
          </w:p>
          <w:p w:rsidR="00DF2100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17BA7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  <w:r w:rsidR="0083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в долларах США</w:t>
            </w:r>
          </w:p>
          <w:p w:rsidR="00DF2100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17BA7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 евро</w:t>
            </w:r>
          </w:p>
          <w:p w:rsidR="00230511" w:rsidRPr="00701CBE" w:rsidRDefault="00DF2100" w:rsidP="00230511">
            <w:pPr>
              <w:pStyle w:val="TableParagraph"/>
              <w:spacing w:before="9"/>
              <w:ind w:left="141" w:right="142" w:firstLine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30511" w:rsidRPr="00701CBE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договорам потребительского кредита в виде «овердрафт» счета с   использованием банковских карт:</w:t>
            </w:r>
          </w:p>
          <w:p w:rsidR="00230511" w:rsidRPr="00865CA0" w:rsidRDefault="00F82966" w:rsidP="00230511">
            <w:pPr>
              <w:pStyle w:val="TableParagraph"/>
              <w:spacing w:before="9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18,000-</w:t>
            </w:r>
            <w:r w:rsidR="00836B45">
              <w:rPr>
                <w:rFonts w:ascii="Times New Roman" w:hAnsi="Times New Roman" w:cs="Times New Roman"/>
                <w:sz w:val="18"/>
                <w:szCs w:val="18"/>
              </w:rPr>
              <w:t xml:space="preserve"> 19,523</w:t>
            </w:r>
            <w:bookmarkStart w:id="0" w:name="_GoBack"/>
            <w:bookmarkEnd w:id="0"/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 xml:space="preserve"> – в рублях (в рамках «</w:t>
            </w:r>
            <w:proofErr w:type="spellStart"/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зарплатного</w:t>
            </w:r>
            <w:proofErr w:type="spellEnd"/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» проекта)</w:t>
            </w:r>
          </w:p>
          <w:p w:rsidR="00230511" w:rsidRPr="00865CA0" w:rsidRDefault="00EB0409" w:rsidP="00230511">
            <w:pPr>
              <w:pStyle w:val="TableParagraph"/>
              <w:spacing w:before="9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19,000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24,837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 xml:space="preserve"> – в рублях</w:t>
            </w:r>
          </w:p>
          <w:p w:rsidR="00062E7E" w:rsidRPr="007A209A" w:rsidRDefault="00F82966" w:rsidP="00230511">
            <w:pPr>
              <w:pStyle w:val="TableParagraph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EB040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409">
              <w:rPr>
                <w:rFonts w:ascii="Times New Roman" w:hAnsi="Times New Roman" w:cs="Times New Roman"/>
                <w:sz w:val="18"/>
                <w:szCs w:val="18"/>
              </w:rPr>
              <w:t xml:space="preserve"> 29,879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 xml:space="preserve"> – в долларах США и евро</w:t>
            </w:r>
          </w:p>
        </w:tc>
      </w:tr>
      <w:tr w:rsidR="00062E7E" w:rsidRPr="007A209A" w:rsidTr="007B3F0A">
        <w:trPr>
          <w:trHeight w:val="621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Периодичность платежей заемщика при возврате потребительского кредита, уплате процентов и иных платежей по кредиту.</w:t>
            </w:r>
          </w:p>
        </w:tc>
        <w:tc>
          <w:tcPr>
            <w:tcW w:w="2933" w:type="pct"/>
          </w:tcPr>
          <w:p w:rsidR="00B6383D" w:rsidRPr="007A209A" w:rsidRDefault="007F184F" w:rsidP="00C97AFB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7C0E" w:rsidRPr="007A209A">
              <w:rPr>
                <w:rFonts w:ascii="Times New Roman" w:hAnsi="Times New Roman" w:cs="Times New Roman"/>
                <w:sz w:val="18"/>
                <w:szCs w:val="18"/>
              </w:rPr>
              <w:t>огашен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FA7C0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долга:</w:t>
            </w:r>
          </w:p>
          <w:p w:rsidR="00062E7E" w:rsidRPr="007A209A" w:rsidRDefault="00B6383D" w:rsidP="00C97AFB">
            <w:pPr>
              <w:pStyle w:val="TableParagraph"/>
              <w:numPr>
                <w:ilvl w:val="0"/>
                <w:numId w:val="7"/>
              </w:numPr>
              <w:ind w:left="317" w:right="36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 согласованному графику, либо в конце срока</w:t>
            </w:r>
            <w:r w:rsidR="007F184F"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84F" w:rsidRPr="007A209A" w:rsidRDefault="007F184F" w:rsidP="00C97AFB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Погашение процентов:</w:t>
            </w:r>
          </w:p>
          <w:p w:rsidR="007F184F" w:rsidRPr="007A209A" w:rsidRDefault="007F184F" w:rsidP="00DF210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right="36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по согласованному графику (ежемесячно, 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жеквартально, в конце срока)</w:t>
            </w:r>
          </w:p>
        </w:tc>
      </w:tr>
      <w:tr w:rsidR="00062E7E" w:rsidRPr="007A209A" w:rsidTr="007B3F0A">
        <w:trPr>
          <w:trHeight w:val="1408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аемщиком обязательств по договору </w:t>
            </w:r>
            <w:r w:rsidR="002D2FE8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потребительского кредита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осуществляется через Текущий счет</w:t>
            </w:r>
            <w:r w:rsidRPr="007A20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путем: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банковской карты Банка, посредством оформления письменного поручения на списание в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безакцептном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с к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арты Заемщика в  счет погашения кредита и процентов. 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При наличии текущего счета у Заемщика, открытого в Банке, посредством оформления дополнительного соглашения на перечисление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с т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екущего счета в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безакцептном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="004846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4613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в счет погашения кредита и процентов 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 внесения наличных денежных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дств </w:t>
            </w:r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FA2A02">
              <w:rPr>
                <w:rFonts w:ascii="Times New Roman" w:hAnsi="Times New Roman" w:cs="Times New Roman"/>
                <w:sz w:val="18"/>
                <w:szCs w:val="18"/>
              </w:rPr>
              <w:t xml:space="preserve">ассу </w:t>
            </w:r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» (АО)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для зачисления в счет погашения кредита и процентов. </w:t>
            </w:r>
          </w:p>
          <w:p w:rsidR="00062E7E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 перечисления денежных средств со счетов заемщика, открытых в других кредитных организациях.</w:t>
            </w:r>
          </w:p>
          <w:p w:rsidR="00D408B4" w:rsidRPr="005B0683" w:rsidRDefault="00E024D5" w:rsidP="00DF2100">
            <w:pPr>
              <w:pStyle w:val="3"/>
              <w:shd w:val="clear" w:color="auto" w:fill="FCFCFC"/>
              <w:ind w:left="141" w:right="142"/>
              <w:rPr>
                <w:b w:val="0"/>
                <w:i/>
                <w:sz w:val="18"/>
                <w:szCs w:val="18"/>
              </w:rPr>
            </w:pPr>
            <w:r w:rsidRPr="005B0683">
              <w:rPr>
                <w:b w:val="0"/>
                <w:i/>
                <w:sz w:val="18"/>
                <w:szCs w:val="18"/>
              </w:rPr>
              <w:t xml:space="preserve">Способы погашения потребительского кредита в виде «овердрафт» с использованием банковских карт (любым способом </w:t>
            </w:r>
            <w:proofErr w:type="gramStart"/>
            <w:r w:rsidRPr="005B0683">
              <w:rPr>
                <w:b w:val="0"/>
                <w:i/>
                <w:sz w:val="18"/>
                <w:szCs w:val="18"/>
              </w:rPr>
              <w:t>из</w:t>
            </w:r>
            <w:proofErr w:type="gramEnd"/>
            <w:r w:rsidRPr="005B0683">
              <w:rPr>
                <w:b w:val="0"/>
                <w:i/>
                <w:sz w:val="18"/>
                <w:szCs w:val="18"/>
              </w:rPr>
              <w:t xml:space="preserve"> описанных): 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Внесение наличных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дств в </w:t>
            </w:r>
            <w:r w:rsidR="00FE20A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FE20A8">
              <w:rPr>
                <w:rFonts w:ascii="Times New Roman" w:hAnsi="Times New Roman" w:cs="Times New Roman"/>
                <w:sz w:val="18"/>
                <w:szCs w:val="18"/>
              </w:rPr>
              <w:t>ассу</w:t>
            </w:r>
            <w:r w:rsidR="00C81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для зачисления на счет расчетов с использованием банковской карты в счет погашения кредита и процентов.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Внесение наличных денежных средств посредством банкоматов и терминалов других кредитных организаций для зачисления на счет расчетов с использованием банковской карты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» (АО) в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погашения кредита и процентов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дств с б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анковского счета Клиента, открытого в 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» (АО) на счет расчетов с использованием банковской карты в счет погашение кредита и процентов. </w:t>
            </w:r>
          </w:p>
          <w:p w:rsidR="00E024D5" w:rsidRPr="00F4243D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Безналичным переводом денежных средств из других кредитных организаций на счет расчетов с использованием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банковской карты в КБ «</w:t>
            </w:r>
            <w:proofErr w:type="spell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» (АО) в счет погашение кредита и процентов. </w:t>
            </w:r>
          </w:p>
          <w:p w:rsidR="00E024D5" w:rsidRPr="00F4243D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  <w:tab w:val="left" w:pos="283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средств с карты КБ «Гаран</w:t>
            </w:r>
            <w:proofErr w:type="gram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» (АО) на карту КБ «</w:t>
            </w:r>
            <w:proofErr w:type="spell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» (АО) на сайте Банка </w:t>
            </w:r>
            <w:hyperlink r:id="rId10" w:history="1"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gibank</w:t>
              </w:r>
              <w:proofErr w:type="spellEnd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A2A02"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 и в Системе </w:t>
            </w:r>
            <w:r w:rsidR="00865E4B"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дистанционного банковского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обслуживания «Частный клиент» в счет погашения кредита и процентов.</w:t>
            </w:r>
          </w:p>
          <w:p w:rsidR="00E024D5" w:rsidRDefault="00E024D5" w:rsidP="003F4A32">
            <w:pPr>
              <w:pStyle w:val="TableParagraph"/>
              <w:tabs>
                <w:tab w:val="left" w:pos="-1"/>
                <w:tab w:val="left" w:pos="141"/>
              </w:tabs>
              <w:ind w:left="283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дств с к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арты других кредитных организаций на карту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в счет погашения кредита и процентов.</w:t>
            </w:r>
          </w:p>
        </w:tc>
      </w:tr>
      <w:tr w:rsidR="009B2C01" w:rsidRPr="007A209A" w:rsidTr="007B3F0A">
        <w:trPr>
          <w:trHeight w:val="1456"/>
        </w:trPr>
        <w:tc>
          <w:tcPr>
            <w:tcW w:w="291" w:type="pct"/>
          </w:tcPr>
          <w:p w:rsidR="009B2C01" w:rsidRPr="007A209A" w:rsidRDefault="009B2C0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776" w:type="pct"/>
          </w:tcPr>
          <w:p w:rsidR="009B2C01" w:rsidRPr="007A209A" w:rsidRDefault="009B2C01" w:rsidP="00347C1A">
            <w:pPr>
              <w:pStyle w:val="TableParagraph"/>
              <w:spacing w:line="204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Сроки,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течение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которых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заемщик 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>вправе о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тказаться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получения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потребительского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кредита.</w:t>
            </w:r>
          </w:p>
        </w:tc>
        <w:tc>
          <w:tcPr>
            <w:tcW w:w="2933" w:type="pct"/>
          </w:tcPr>
          <w:p w:rsidR="009B2C01" w:rsidRDefault="009B2C01" w:rsidP="00DF2100">
            <w:pPr>
              <w:pStyle w:val="TableParagraph"/>
              <w:spacing w:line="204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Заемщик вправе отказаться от получения</w:t>
            </w:r>
            <w:r w:rsidRPr="007A209A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потребительского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кредита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течение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рабочи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дня</w:t>
            </w:r>
            <w:r w:rsidR="00DF21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заемщику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потребительского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кредита. В случае получения Банком подписанного договора потребительского кредита по истечении 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 рабочих дней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со дня предоставления заемщику договора потребительского кредита, договор не считается заключенным.</w:t>
            </w:r>
          </w:p>
          <w:p w:rsidR="00D408B4" w:rsidRPr="00CB5C22" w:rsidRDefault="00D408B4" w:rsidP="00CB5C22">
            <w:pPr>
              <w:pStyle w:val="TableParagraph"/>
              <w:spacing w:before="4" w:line="206" w:lineRule="exact"/>
              <w:ind w:right="1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Заемщик вправе отказаться от потребительского кредита в виде «овердрафт» с использованием банковских карт до заключения Договора.</w:t>
            </w:r>
          </w:p>
        </w:tc>
      </w:tr>
      <w:tr w:rsidR="00062E7E" w:rsidRPr="007A209A" w:rsidTr="007B3F0A">
        <w:trPr>
          <w:trHeight w:val="413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 обеспечения исполнения обязательств по договору потребительского кредита.</w:t>
            </w:r>
          </w:p>
        </w:tc>
        <w:tc>
          <w:tcPr>
            <w:tcW w:w="2933" w:type="pct"/>
          </w:tcPr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финансовые ресурсы заемщика/ третьего лица;</w:t>
            </w:r>
          </w:p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 Банка, принадлежащие Заемщику / третьему лицу  (векселя, депозитные и сберегательные сертификаты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2A02" w:rsidRPr="007A20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ные аналогичные долговые обязательства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недвижимость, принадлежащая Заемщику / третьему лицу</w:t>
            </w:r>
            <w:r w:rsidR="005D4F43">
              <w:rPr>
                <w:rFonts w:ascii="Times New Roman" w:hAnsi="Times New Roman" w:cs="Times New Roman"/>
                <w:sz w:val="18"/>
                <w:szCs w:val="18"/>
              </w:rPr>
              <w:t xml:space="preserve"> (имущество должно быть застраховано в пользу Банка)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2E7E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автотранспорт, принадлежащий Заемщику / третьему лицу</w:t>
            </w:r>
            <w:r w:rsidR="005D4F43">
              <w:rPr>
                <w:rFonts w:ascii="Times New Roman" w:hAnsi="Times New Roman" w:cs="Times New Roman"/>
                <w:sz w:val="18"/>
                <w:szCs w:val="18"/>
              </w:rPr>
              <w:t xml:space="preserve"> (имущество должно быть застраховано в пользу Банка);</w:t>
            </w:r>
          </w:p>
          <w:p w:rsidR="007013A6" w:rsidRDefault="007013A6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Поручительство супруга (супруги)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, иное</w:t>
            </w:r>
            <w:r w:rsidR="00A841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025" w:rsidRPr="009B7A5D" w:rsidRDefault="009B7A5D" w:rsidP="009B7A5D">
            <w:pPr>
              <w:pStyle w:val="TableParagraph"/>
              <w:tabs>
                <w:tab w:val="left" w:pos="283"/>
              </w:tabs>
              <w:ind w:left="282" w:right="9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7A5D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договору потребительского кредита в виде «овердрафт» с использованием банковских карт предоставление обеспечения не предусмотрено.</w:t>
            </w:r>
          </w:p>
        </w:tc>
      </w:tr>
      <w:tr w:rsidR="00062E7E" w:rsidRPr="007A209A" w:rsidTr="007B3F0A">
        <w:trPr>
          <w:trHeight w:val="1756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2933" w:type="pct"/>
          </w:tcPr>
          <w:p w:rsidR="00F4217F" w:rsidRPr="007A209A" w:rsidRDefault="00F4217F" w:rsidP="00686ECB">
            <w:pPr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несвоевременного погашения Заемщиком суммы основного долга  Банк начисляет Заемщику проценты  в размере, указанном в п. 8.</w:t>
            </w:r>
          </w:p>
          <w:p w:rsidR="00062E7E" w:rsidRDefault="00F4217F" w:rsidP="00686ECB">
            <w:pPr>
              <w:pStyle w:val="TableParagraph"/>
              <w:spacing w:before="1" w:line="206" w:lineRule="exact"/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В случае неисполнения (ненадлежащего исполнения) обязательств Заемщика по возврату суммы основного долга и (или) уплате процентов, Заемщик уплачивает Банку неустойку (пени) в размере 20 % (Двадцать процентов) годовых от суммы просроченного платежа (основного долга и/или процентов).</w:t>
            </w:r>
          </w:p>
          <w:p w:rsidR="00DF2100" w:rsidRPr="005B0683" w:rsidRDefault="00DF2100" w:rsidP="00686ECB">
            <w:pPr>
              <w:pStyle w:val="TableParagraph"/>
              <w:spacing w:before="1" w:line="206" w:lineRule="exact"/>
              <w:ind w:left="175" w:right="10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83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договору потребительского кредита в виде «овердрафт» с использованием банковских карт:</w:t>
            </w:r>
          </w:p>
          <w:p w:rsidR="00E024D5" w:rsidRPr="00E024D5" w:rsidRDefault="00B77C1C" w:rsidP="00A841DA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ри возникновении просроченной задолженности Банк продолжает начислять проценты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установленные договором,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на сумму просроченного платежа за весь период с даты, следующей за датой, когда обязательств должно было быть исполнено, до даты погашения задолженности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Заемщиком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. Кроме того, Банк начисляет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Заемщику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="00E4547F">
              <w:rPr>
                <w:rFonts w:ascii="Times New Roman" w:hAnsi="Times New Roman" w:cs="Times New Roman"/>
                <w:sz w:val="18"/>
                <w:szCs w:val="18"/>
              </w:rPr>
              <w:t>Заемщик</w:t>
            </w:r>
            <w:r w:rsidR="00E4547F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обязуется уплатить штрафные санкции за неисполнение или ненадлежащее исполнение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Заемщиком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обязательств по возврату задолженности, в виде процентов, начисляемых на сумму просроченного платежа за каждый день просрочки, рассчитанных исходя из годовой процентной ставки, указанной </w:t>
            </w:r>
            <w:r w:rsidR="00A841DA">
              <w:rPr>
                <w:rFonts w:ascii="Times New Roman" w:hAnsi="Times New Roman" w:cs="Times New Roman"/>
                <w:sz w:val="18"/>
                <w:szCs w:val="18"/>
              </w:rPr>
              <w:t>договоре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, но не более 20 % (Двадцати) процентов годовых.</w:t>
            </w:r>
          </w:p>
          <w:p w:rsidR="00E024D5" w:rsidRDefault="00E024D5" w:rsidP="0079057F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На период существования просроченной задолженности 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овердрафтное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кредитование временно приостанавливается до даты (включительно) погашения просроченной задолженности. Банк вправе приостановить действие Карты до момента погашения просроченной задолженности</w:t>
            </w:r>
            <w:r w:rsidR="00790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1449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6" w:type="pct"/>
          </w:tcPr>
          <w:p w:rsidR="00062E7E" w:rsidRPr="007A209A" w:rsidRDefault="0002489E" w:rsidP="00686ECB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</w:t>
            </w:r>
            <w:r w:rsidRPr="007A209A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оказанием</w:t>
            </w:r>
            <w:r w:rsidR="00686E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таких услуг либо отказаться от них.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Договор текущего счета</w:t>
            </w:r>
            <w:r w:rsidR="00222B0C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отсутствия открытого счета в Банке у Заемщика)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4D5" w:rsidRDefault="0002489E" w:rsidP="00E024D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страхования </w:t>
            </w:r>
            <w:r w:rsidR="00222B0C" w:rsidRPr="007A209A">
              <w:rPr>
                <w:rFonts w:ascii="Times New Roman" w:hAnsi="Times New Roman" w:cs="Times New Roman"/>
                <w:sz w:val="18"/>
                <w:szCs w:val="18"/>
              </w:rPr>
              <w:t>недвижимого (движимого) имущества в пользу Банка, предоставляемого в качестве обеспечения исполнения обязательств по договору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1016" w:rsidRDefault="00E024D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Услуги в рамках обслуживания международной банковской карты Клиента, согласно «Тарифам на получение и использование банковских карт </w:t>
            </w:r>
            <w:r w:rsidRPr="00E0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VISA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0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MasterCard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и Мир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и «Правилам обслуживания и условиям выпуска банковских карт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(АО).</w:t>
            </w:r>
          </w:p>
        </w:tc>
      </w:tr>
      <w:tr w:rsidR="00062E7E" w:rsidRPr="007A209A" w:rsidTr="007B3F0A">
        <w:trPr>
          <w:trHeight w:val="186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в</w:t>
            </w:r>
            <w:proofErr w:type="gramEnd"/>
          </w:p>
          <w:p w:rsidR="00062E7E" w:rsidRPr="007A209A" w:rsidRDefault="0002489E">
            <w:pPr>
              <w:pStyle w:val="TableParagraph"/>
              <w:spacing w:line="187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иностранной валюте).</w:t>
            </w:r>
          </w:p>
        </w:tc>
        <w:tc>
          <w:tcPr>
            <w:tcW w:w="2933" w:type="pct"/>
          </w:tcPr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2489E">
            <w:pPr>
              <w:pStyle w:val="TableParagraph"/>
              <w:spacing w:before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</w:tr>
      <w:tr w:rsidR="00062E7E" w:rsidRPr="007A209A" w:rsidTr="007B3F0A">
        <w:trPr>
          <w:trHeight w:val="1449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дств кр</w:t>
            </w:r>
            <w:proofErr w:type="gramEnd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едитором третьему лицу, указанному заемщиком при предоставлении потребительского кредита,</w:t>
            </w:r>
            <w:r w:rsidRPr="007A209A">
              <w:rPr>
                <w:rFonts w:ascii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может</w:t>
            </w:r>
            <w:r w:rsidRPr="007A209A">
              <w:rPr>
                <w:rFonts w:ascii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отличаться</w:t>
            </w:r>
            <w:r w:rsidRPr="007A209A">
              <w:rPr>
                <w:rFonts w:ascii="Times New Roman" w:hAnsi="Times New Roman" w:cs="Times New Roman"/>
                <w:i/>
                <w:spacing w:val="1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 w:rsidRPr="007A209A">
              <w:rPr>
                <w:rFonts w:ascii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валюты</w:t>
            </w:r>
          </w:p>
          <w:p w:rsidR="00062E7E" w:rsidRPr="007A209A" w:rsidRDefault="0002489E">
            <w:pPr>
              <w:pStyle w:val="TableParagraph"/>
              <w:spacing w:line="187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потребительского кредита.</w:t>
            </w:r>
          </w:p>
        </w:tc>
        <w:tc>
          <w:tcPr>
            <w:tcW w:w="2933" w:type="pct"/>
          </w:tcPr>
          <w:p w:rsidR="00062E7E" w:rsidRPr="007A209A" w:rsidRDefault="009B2C01" w:rsidP="00FA2A02">
            <w:pPr>
              <w:pStyle w:val="TableParagraph"/>
              <w:spacing w:before="160"/>
              <w:ind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Конвертация денежных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в в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алюту, отличную от валюты кредита, осуществляется по курсу, устанавливаемому Банком на дату конвертации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621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 возможности запрета уступки кредитором третьим лицам прав (требований)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222B0C" w:rsidP="00686ECB">
            <w:pPr>
              <w:pStyle w:val="ConsPlusNormal"/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Банк вправе уступить права требования по настоящему договору потребительского кредита  третьим лицам, в том числе лицам, не имеющим лицензии на право осуществления банковской деятельности</w:t>
            </w:r>
            <w:r w:rsidR="00FA2A02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.</w:t>
            </w:r>
          </w:p>
        </w:tc>
      </w:tr>
      <w:tr w:rsidR="00062E7E" w:rsidRPr="007A209A" w:rsidTr="007B3F0A">
        <w:trPr>
          <w:trHeight w:val="1240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6" w:type="pct"/>
          </w:tcPr>
          <w:p w:rsidR="00062E7E" w:rsidRPr="007A209A" w:rsidRDefault="0002489E" w:rsidP="00686ECB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</w:t>
            </w:r>
            <w:r w:rsidR="00686E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определенные цели).</w:t>
            </w:r>
          </w:p>
        </w:tc>
        <w:tc>
          <w:tcPr>
            <w:tcW w:w="2933" w:type="pct"/>
          </w:tcPr>
          <w:p w:rsidR="00062E7E" w:rsidRPr="007A209A" w:rsidRDefault="00062E7E" w:rsidP="00686ECB">
            <w:pPr>
              <w:pStyle w:val="TableParagraph"/>
              <w:spacing w:before="9"/>
              <w:ind w:left="0" w:right="10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16" w:rsidRDefault="008D1111">
            <w:pPr>
              <w:pStyle w:val="TableParagraph"/>
              <w:spacing w:before="1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Заемщик предоставляет</w:t>
            </w:r>
            <w:r w:rsidRPr="005D4F43">
              <w:rPr>
                <w:rFonts w:ascii="Times New Roman" w:hAnsi="Times New Roman" w:cs="Times New Roman"/>
                <w:sz w:val="18"/>
                <w:szCs w:val="18"/>
              </w:rPr>
              <w:t xml:space="preserve"> в Банк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ы, подтверждающие</w:t>
            </w:r>
            <w:r w:rsidRPr="005D4F43">
              <w:rPr>
                <w:rFonts w:ascii="Times New Roman" w:hAnsi="Times New Roman" w:cs="Times New Roman"/>
                <w:sz w:val="18"/>
                <w:szCs w:val="18"/>
              </w:rPr>
              <w:t xml:space="preserve"> целевое использование кредита</w:t>
            </w:r>
            <w:r w:rsidR="00E454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D1111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3-х рабочих дней, следующих за днем расходования кредитных средств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1036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Подсудность споров по искам кредитора к заемщику.</w:t>
            </w:r>
          </w:p>
        </w:tc>
        <w:tc>
          <w:tcPr>
            <w:tcW w:w="2933" w:type="pct"/>
          </w:tcPr>
          <w:p w:rsidR="00062E7E" w:rsidRPr="007A209A" w:rsidRDefault="0002489E" w:rsidP="00D26708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Иски кредитора к заемщику рассматриваются в суде в пределах субъекта РФ по месту нахождения заемщика</w:t>
            </w:r>
            <w:r w:rsidR="00D267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827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02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Формуляры или иные стандартные формы, в которых определены общие условия договора потребительского кредита.</w:t>
            </w:r>
          </w:p>
        </w:tc>
        <w:tc>
          <w:tcPr>
            <w:tcW w:w="2933" w:type="pct"/>
          </w:tcPr>
          <w:p w:rsidR="00E81016" w:rsidRDefault="00230511">
            <w:pPr>
              <w:widowControl/>
              <w:adjustRightInd w:val="0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Банком физическим лицам потребительских кредитов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потребительских кредитов</w:t>
            </w:r>
            <w:r w:rsidRPr="00D408B4">
              <w:rPr>
                <w:rFonts w:ascii="Times New Roman" w:hAnsi="Times New Roman" w:cs="Times New Roman"/>
                <w:sz w:val="18"/>
                <w:szCs w:val="18"/>
              </w:rPr>
              <w:t xml:space="preserve"> в виде «овердрафт» с использованием банковских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карт (документ размещен </w:t>
            </w:r>
            <w:r w:rsidRPr="00F4243D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в местах оказания услуг (местах приема заявлений о предоставлении потребительского кредита (займа), в том числе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на сайте  </w:t>
            </w:r>
            <w:hyperlink r:id="rId11" w:history="1">
              <w:proofErr w:type="gramEnd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</w:rPr>
                <w:t>www.</w:t>
              </w:r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  <w:lang w:val="en-US"/>
                </w:rPr>
                <w:t>gibank</w:t>
              </w:r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</w:rPr>
                <w:t>.</w:t>
              </w:r>
              <w:proofErr w:type="spellStart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</w:rPr>
                <w:t>ru</w:t>
              </w:r>
              <w:proofErr w:type="spellEnd"/>
              <w:proofErr w:type="gramStart"/>
            </w:hyperlink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01C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</w:tc>
      </w:tr>
    </w:tbl>
    <w:p w:rsidR="0002489E" w:rsidRPr="007A209A" w:rsidRDefault="0002489E">
      <w:pPr>
        <w:rPr>
          <w:rFonts w:ascii="Times New Roman" w:hAnsi="Times New Roman" w:cs="Times New Roman"/>
          <w:sz w:val="18"/>
          <w:szCs w:val="18"/>
        </w:rPr>
      </w:pPr>
    </w:p>
    <w:sectPr w:rsidR="0002489E" w:rsidRPr="007A209A" w:rsidSect="00A366B2">
      <w:pgSz w:w="11910" w:h="16840"/>
      <w:pgMar w:top="709" w:right="5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B8" w:rsidRDefault="00672FB8" w:rsidP="00D13A00">
      <w:r>
        <w:separator/>
      </w:r>
    </w:p>
  </w:endnote>
  <w:endnote w:type="continuationSeparator" w:id="0">
    <w:p w:rsidR="00672FB8" w:rsidRDefault="00672FB8" w:rsidP="00D1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B8" w:rsidRDefault="00672FB8" w:rsidP="00D13A00">
      <w:r>
        <w:separator/>
      </w:r>
    </w:p>
  </w:footnote>
  <w:footnote w:type="continuationSeparator" w:id="0">
    <w:p w:rsidR="00672FB8" w:rsidRDefault="00672FB8" w:rsidP="00D1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30"/>
    <w:multiLevelType w:val="hybridMultilevel"/>
    <w:tmpl w:val="69AEC39A"/>
    <w:lvl w:ilvl="0" w:tplc="0419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08D50E12"/>
    <w:multiLevelType w:val="hybridMultilevel"/>
    <w:tmpl w:val="0B38AE2C"/>
    <w:lvl w:ilvl="0" w:tplc="43A20358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9DBCCA8E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2966847E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74F0AFA0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27648AC6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6C1E3B60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55028C74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A4F604C6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65EA5D40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2">
    <w:nsid w:val="18006D95"/>
    <w:multiLevelType w:val="hybridMultilevel"/>
    <w:tmpl w:val="9D68200A"/>
    <w:lvl w:ilvl="0" w:tplc="9CF26DD0">
      <w:numFmt w:val="bullet"/>
      <w:lvlText w:val="-"/>
      <w:lvlJc w:val="left"/>
      <w:pPr>
        <w:ind w:left="282" w:hanging="142"/>
      </w:pPr>
      <w:rPr>
        <w:rFonts w:ascii="Arial" w:eastAsia="Arial" w:hAnsi="Arial" w:cs="Arial" w:hint="default"/>
        <w:spacing w:val="-25"/>
        <w:w w:val="99"/>
        <w:sz w:val="18"/>
        <w:szCs w:val="18"/>
        <w:lang w:val="ru-RU" w:eastAsia="ru-RU" w:bidi="ru-RU"/>
      </w:rPr>
    </w:lvl>
    <w:lvl w:ilvl="1" w:tplc="54D6ED64">
      <w:numFmt w:val="bullet"/>
      <w:lvlText w:val="•"/>
      <w:lvlJc w:val="left"/>
      <w:pPr>
        <w:ind w:left="804" w:hanging="142"/>
      </w:pPr>
      <w:rPr>
        <w:rFonts w:hint="default"/>
        <w:lang w:val="ru-RU" w:eastAsia="ru-RU" w:bidi="ru-RU"/>
      </w:rPr>
    </w:lvl>
    <w:lvl w:ilvl="2" w:tplc="D524763C">
      <w:numFmt w:val="bullet"/>
      <w:lvlText w:val="•"/>
      <w:lvlJc w:val="left"/>
      <w:pPr>
        <w:ind w:left="1328" w:hanging="142"/>
      </w:pPr>
      <w:rPr>
        <w:rFonts w:hint="default"/>
        <w:lang w:val="ru-RU" w:eastAsia="ru-RU" w:bidi="ru-RU"/>
      </w:rPr>
    </w:lvl>
    <w:lvl w:ilvl="3" w:tplc="54E42884">
      <w:numFmt w:val="bullet"/>
      <w:lvlText w:val="•"/>
      <w:lvlJc w:val="left"/>
      <w:pPr>
        <w:ind w:left="1852" w:hanging="142"/>
      </w:pPr>
      <w:rPr>
        <w:rFonts w:hint="default"/>
        <w:lang w:val="ru-RU" w:eastAsia="ru-RU" w:bidi="ru-RU"/>
      </w:rPr>
    </w:lvl>
    <w:lvl w:ilvl="4" w:tplc="9DA67F08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5" w:tplc="F2183626">
      <w:numFmt w:val="bullet"/>
      <w:lvlText w:val="•"/>
      <w:lvlJc w:val="left"/>
      <w:pPr>
        <w:ind w:left="2901" w:hanging="142"/>
      </w:pPr>
      <w:rPr>
        <w:rFonts w:hint="default"/>
        <w:lang w:val="ru-RU" w:eastAsia="ru-RU" w:bidi="ru-RU"/>
      </w:rPr>
    </w:lvl>
    <w:lvl w:ilvl="6" w:tplc="9FD066E8">
      <w:numFmt w:val="bullet"/>
      <w:lvlText w:val="•"/>
      <w:lvlJc w:val="left"/>
      <w:pPr>
        <w:ind w:left="3425" w:hanging="142"/>
      </w:pPr>
      <w:rPr>
        <w:rFonts w:hint="default"/>
        <w:lang w:val="ru-RU" w:eastAsia="ru-RU" w:bidi="ru-RU"/>
      </w:rPr>
    </w:lvl>
    <w:lvl w:ilvl="7" w:tplc="2C9CB5F4">
      <w:numFmt w:val="bullet"/>
      <w:lvlText w:val="•"/>
      <w:lvlJc w:val="left"/>
      <w:pPr>
        <w:ind w:left="3950" w:hanging="142"/>
      </w:pPr>
      <w:rPr>
        <w:rFonts w:hint="default"/>
        <w:lang w:val="ru-RU" w:eastAsia="ru-RU" w:bidi="ru-RU"/>
      </w:rPr>
    </w:lvl>
    <w:lvl w:ilvl="8" w:tplc="CB5629B0">
      <w:numFmt w:val="bullet"/>
      <w:lvlText w:val="•"/>
      <w:lvlJc w:val="left"/>
      <w:pPr>
        <w:ind w:left="4474" w:hanging="142"/>
      </w:pPr>
      <w:rPr>
        <w:rFonts w:hint="default"/>
        <w:lang w:val="ru-RU" w:eastAsia="ru-RU" w:bidi="ru-RU"/>
      </w:rPr>
    </w:lvl>
  </w:abstractNum>
  <w:abstractNum w:abstractNumId="3">
    <w:nsid w:val="1B8D1BFF"/>
    <w:multiLevelType w:val="hybridMultilevel"/>
    <w:tmpl w:val="CB005E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E183DEC"/>
    <w:multiLevelType w:val="singleLevel"/>
    <w:tmpl w:val="89564D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FE0524B"/>
    <w:multiLevelType w:val="hybridMultilevel"/>
    <w:tmpl w:val="312E02B0"/>
    <w:lvl w:ilvl="0" w:tplc="7B5E39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E26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FF5578"/>
    <w:multiLevelType w:val="hybridMultilevel"/>
    <w:tmpl w:val="5CBCEFF8"/>
    <w:lvl w:ilvl="0" w:tplc="A75ADC36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B04AB8E6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D3E6BB86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B30A05FA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B114E2B6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F65A75BE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7A882B02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5C20C860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8998F2B0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8">
    <w:nsid w:val="440C545D"/>
    <w:multiLevelType w:val="multilevel"/>
    <w:tmpl w:val="8B780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AE572B9"/>
    <w:multiLevelType w:val="hybridMultilevel"/>
    <w:tmpl w:val="2F1A5B5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20261F8"/>
    <w:multiLevelType w:val="hybridMultilevel"/>
    <w:tmpl w:val="5CDCC19E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76F76E2"/>
    <w:multiLevelType w:val="hybridMultilevel"/>
    <w:tmpl w:val="D4F0B1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06389"/>
    <w:multiLevelType w:val="hybridMultilevel"/>
    <w:tmpl w:val="A8425C22"/>
    <w:lvl w:ilvl="0" w:tplc="28EE7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7518"/>
    <w:multiLevelType w:val="hybridMultilevel"/>
    <w:tmpl w:val="E6500A4A"/>
    <w:lvl w:ilvl="0" w:tplc="2FF42D02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313053F4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485E9874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4386D246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82A202F4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C38EA196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611257B6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661A8466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C5305222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14">
    <w:nsid w:val="605F783F"/>
    <w:multiLevelType w:val="hybridMultilevel"/>
    <w:tmpl w:val="BF825A8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6F3F258F"/>
    <w:multiLevelType w:val="hybridMultilevel"/>
    <w:tmpl w:val="33A8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E7280"/>
    <w:multiLevelType w:val="hybridMultilevel"/>
    <w:tmpl w:val="BBD6B796"/>
    <w:lvl w:ilvl="0" w:tplc="90FEDBCC">
      <w:start w:val="1"/>
      <w:numFmt w:val="decimal"/>
      <w:lvlText w:val="%1"/>
      <w:lvlJc w:val="left"/>
      <w:pPr>
        <w:ind w:left="248" w:hanging="11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ru-RU" w:eastAsia="ru-RU" w:bidi="ru-RU"/>
      </w:rPr>
    </w:lvl>
    <w:lvl w:ilvl="1" w:tplc="B5CA9F82">
      <w:numFmt w:val="bullet"/>
      <w:lvlText w:val="•"/>
      <w:lvlJc w:val="left"/>
      <w:pPr>
        <w:ind w:left="1302" w:hanging="111"/>
      </w:pPr>
      <w:rPr>
        <w:rFonts w:hint="default"/>
        <w:lang w:val="ru-RU" w:eastAsia="ru-RU" w:bidi="ru-RU"/>
      </w:rPr>
    </w:lvl>
    <w:lvl w:ilvl="2" w:tplc="C9985EB0">
      <w:numFmt w:val="bullet"/>
      <w:lvlText w:val="•"/>
      <w:lvlJc w:val="left"/>
      <w:pPr>
        <w:ind w:left="2365" w:hanging="111"/>
      </w:pPr>
      <w:rPr>
        <w:rFonts w:hint="default"/>
        <w:lang w:val="ru-RU" w:eastAsia="ru-RU" w:bidi="ru-RU"/>
      </w:rPr>
    </w:lvl>
    <w:lvl w:ilvl="3" w:tplc="140A1B8A">
      <w:numFmt w:val="bullet"/>
      <w:lvlText w:val="•"/>
      <w:lvlJc w:val="left"/>
      <w:pPr>
        <w:ind w:left="3427" w:hanging="111"/>
      </w:pPr>
      <w:rPr>
        <w:rFonts w:hint="default"/>
        <w:lang w:val="ru-RU" w:eastAsia="ru-RU" w:bidi="ru-RU"/>
      </w:rPr>
    </w:lvl>
    <w:lvl w:ilvl="4" w:tplc="BC243640">
      <w:numFmt w:val="bullet"/>
      <w:lvlText w:val="•"/>
      <w:lvlJc w:val="left"/>
      <w:pPr>
        <w:ind w:left="4490" w:hanging="111"/>
      </w:pPr>
      <w:rPr>
        <w:rFonts w:hint="default"/>
        <w:lang w:val="ru-RU" w:eastAsia="ru-RU" w:bidi="ru-RU"/>
      </w:rPr>
    </w:lvl>
    <w:lvl w:ilvl="5" w:tplc="AA9816E4">
      <w:numFmt w:val="bullet"/>
      <w:lvlText w:val="•"/>
      <w:lvlJc w:val="left"/>
      <w:pPr>
        <w:ind w:left="5553" w:hanging="111"/>
      </w:pPr>
      <w:rPr>
        <w:rFonts w:hint="default"/>
        <w:lang w:val="ru-RU" w:eastAsia="ru-RU" w:bidi="ru-RU"/>
      </w:rPr>
    </w:lvl>
    <w:lvl w:ilvl="6" w:tplc="B238BBF0">
      <w:numFmt w:val="bullet"/>
      <w:lvlText w:val="•"/>
      <w:lvlJc w:val="left"/>
      <w:pPr>
        <w:ind w:left="6615" w:hanging="111"/>
      </w:pPr>
      <w:rPr>
        <w:rFonts w:hint="default"/>
        <w:lang w:val="ru-RU" w:eastAsia="ru-RU" w:bidi="ru-RU"/>
      </w:rPr>
    </w:lvl>
    <w:lvl w:ilvl="7" w:tplc="7966A78C">
      <w:numFmt w:val="bullet"/>
      <w:lvlText w:val="•"/>
      <w:lvlJc w:val="left"/>
      <w:pPr>
        <w:ind w:left="7678" w:hanging="111"/>
      </w:pPr>
      <w:rPr>
        <w:rFonts w:hint="default"/>
        <w:lang w:val="ru-RU" w:eastAsia="ru-RU" w:bidi="ru-RU"/>
      </w:rPr>
    </w:lvl>
    <w:lvl w:ilvl="8" w:tplc="22822C36">
      <w:numFmt w:val="bullet"/>
      <w:lvlText w:val="•"/>
      <w:lvlJc w:val="left"/>
      <w:pPr>
        <w:ind w:left="8741" w:hanging="111"/>
      </w:pPr>
      <w:rPr>
        <w:rFonts w:hint="default"/>
        <w:lang w:val="ru-RU" w:eastAsia="ru-RU" w:bidi="ru-RU"/>
      </w:rPr>
    </w:lvl>
  </w:abstractNum>
  <w:abstractNum w:abstractNumId="17">
    <w:nsid w:val="76E626E6"/>
    <w:multiLevelType w:val="hybridMultilevel"/>
    <w:tmpl w:val="FDD8E838"/>
    <w:lvl w:ilvl="0" w:tplc="28EE7646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4FF4"/>
    <w:multiLevelType w:val="hybridMultilevel"/>
    <w:tmpl w:val="09A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нельщикова Наталья Юрьевна">
    <w15:presenceInfo w15:providerId="AD" w15:userId="S-1-5-21-468592602-2144342479-10498456-17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2E7E"/>
    <w:rsid w:val="0002489E"/>
    <w:rsid w:val="00062E7E"/>
    <w:rsid w:val="00082253"/>
    <w:rsid w:val="000D1A7D"/>
    <w:rsid w:val="000D4CD0"/>
    <w:rsid w:val="00136E9C"/>
    <w:rsid w:val="00145389"/>
    <w:rsid w:val="00161F9C"/>
    <w:rsid w:val="00194DF3"/>
    <w:rsid w:val="001C3AEF"/>
    <w:rsid w:val="001F380F"/>
    <w:rsid w:val="00222B0C"/>
    <w:rsid w:val="00230511"/>
    <w:rsid w:val="0028550A"/>
    <w:rsid w:val="002B73BD"/>
    <w:rsid w:val="002D2FE8"/>
    <w:rsid w:val="002D7234"/>
    <w:rsid w:val="002F0E86"/>
    <w:rsid w:val="002F4D96"/>
    <w:rsid w:val="00330025"/>
    <w:rsid w:val="00331D6C"/>
    <w:rsid w:val="00340436"/>
    <w:rsid w:val="00344B7F"/>
    <w:rsid w:val="00347C1A"/>
    <w:rsid w:val="00395ADE"/>
    <w:rsid w:val="003B3794"/>
    <w:rsid w:val="003D177D"/>
    <w:rsid w:val="003F4593"/>
    <w:rsid w:val="003F4A32"/>
    <w:rsid w:val="004111F6"/>
    <w:rsid w:val="00484613"/>
    <w:rsid w:val="004B7954"/>
    <w:rsid w:val="004E32F7"/>
    <w:rsid w:val="00502A05"/>
    <w:rsid w:val="00517BA7"/>
    <w:rsid w:val="00526DE4"/>
    <w:rsid w:val="00570A99"/>
    <w:rsid w:val="005B0683"/>
    <w:rsid w:val="005C74BE"/>
    <w:rsid w:val="005D3BA7"/>
    <w:rsid w:val="005D4F43"/>
    <w:rsid w:val="00624453"/>
    <w:rsid w:val="00635D2C"/>
    <w:rsid w:val="006417EE"/>
    <w:rsid w:val="00672FB8"/>
    <w:rsid w:val="00686ECB"/>
    <w:rsid w:val="006A167C"/>
    <w:rsid w:val="006A3032"/>
    <w:rsid w:val="007013A6"/>
    <w:rsid w:val="007540CD"/>
    <w:rsid w:val="00762F2D"/>
    <w:rsid w:val="0077441A"/>
    <w:rsid w:val="0079057F"/>
    <w:rsid w:val="007A209A"/>
    <w:rsid w:val="007B3F0A"/>
    <w:rsid w:val="007C2E00"/>
    <w:rsid w:val="007F184F"/>
    <w:rsid w:val="00836B45"/>
    <w:rsid w:val="00865E4B"/>
    <w:rsid w:val="008D1111"/>
    <w:rsid w:val="00977B14"/>
    <w:rsid w:val="009959DE"/>
    <w:rsid w:val="009B2C01"/>
    <w:rsid w:val="009B7A5D"/>
    <w:rsid w:val="009E309D"/>
    <w:rsid w:val="00A34E0D"/>
    <w:rsid w:val="00A366B2"/>
    <w:rsid w:val="00A64316"/>
    <w:rsid w:val="00A66E72"/>
    <w:rsid w:val="00A73DC2"/>
    <w:rsid w:val="00A75690"/>
    <w:rsid w:val="00A83C5D"/>
    <w:rsid w:val="00A841DA"/>
    <w:rsid w:val="00A87C0E"/>
    <w:rsid w:val="00A96075"/>
    <w:rsid w:val="00B23548"/>
    <w:rsid w:val="00B44C52"/>
    <w:rsid w:val="00B560CA"/>
    <w:rsid w:val="00B61D9C"/>
    <w:rsid w:val="00B6383D"/>
    <w:rsid w:val="00B77C1C"/>
    <w:rsid w:val="00BA0CD8"/>
    <w:rsid w:val="00BC43A0"/>
    <w:rsid w:val="00BF1EE7"/>
    <w:rsid w:val="00C02203"/>
    <w:rsid w:val="00C16B6E"/>
    <w:rsid w:val="00C608C4"/>
    <w:rsid w:val="00C81309"/>
    <w:rsid w:val="00C97AFB"/>
    <w:rsid w:val="00CB5C22"/>
    <w:rsid w:val="00CC33DE"/>
    <w:rsid w:val="00D132C0"/>
    <w:rsid w:val="00D13A00"/>
    <w:rsid w:val="00D26708"/>
    <w:rsid w:val="00D408B4"/>
    <w:rsid w:val="00D609B1"/>
    <w:rsid w:val="00D6768E"/>
    <w:rsid w:val="00D92E0C"/>
    <w:rsid w:val="00DB2146"/>
    <w:rsid w:val="00DF2100"/>
    <w:rsid w:val="00DF3577"/>
    <w:rsid w:val="00E024D5"/>
    <w:rsid w:val="00E27B2C"/>
    <w:rsid w:val="00E4547F"/>
    <w:rsid w:val="00E52637"/>
    <w:rsid w:val="00E81016"/>
    <w:rsid w:val="00EA5BA8"/>
    <w:rsid w:val="00EB0409"/>
    <w:rsid w:val="00EE4D23"/>
    <w:rsid w:val="00F019E3"/>
    <w:rsid w:val="00F01DF0"/>
    <w:rsid w:val="00F337A2"/>
    <w:rsid w:val="00F4217F"/>
    <w:rsid w:val="00F4243D"/>
    <w:rsid w:val="00F6306E"/>
    <w:rsid w:val="00F82966"/>
    <w:rsid w:val="00F86334"/>
    <w:rsid w:val="00FA2A02"/>
    <w:rsid w:val="00FA7C0E"/>
    <w:rsid w:val="00FD27B9"/>
    <w:rsid w:val="00FE20A8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E7E"/>
    <w:rPr>
      <w:rFonts w:ascii="Arial" w:eastAsia="Arial" w:hAnsi="Arial" w:cs="Arial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D408B4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E7E"/>
    <w:pPr>
      <w:spacing w:before="3"/>
    </w:pPr>
    <w:rPr>
      <w:sz w:val="16"/>
      <w:szCs w:val="16"/>
    </w:rPr>
  </w:style>
  <w:style w:type="paragraph" w:styleId="a4">
    <w:name w:val="Title"/>
    <w:basedOn w:val="a"/>
    <w:uiPriority w:val="1"/>
    <w:qFormat/>
    <w:rsid w:val="00062E7E"/>
    <w:pPr>
      <w:spacing w:before="89"/>
      <w:ind w:left="3808" w:right="867" w:hanging="266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2E7E"/>
    <w:pPr>
      <w:spacing w:before="69"/>
      <w:ind w:left="247" w:hanging="112"/>
    </w:pPr>
  </w:style>
  <w:style w:type="paragraph" w:customStyle="1" w:styleId="TableParagraph">
    <w:name w:val="Table Paragraph"/>
    <w:basedOn w:val="a"/>
    <w:uiPriority w:val="1"/>
    <w:qFormat/>
    <w:rsid w:val="00062E7E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D13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A00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13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A00"/>
    <w:rPr>
      <w:rFonts w:ascii="Arial" w:eastAsia="Arial" w:hAnsi="Arial" w:cs="Arial"/>
      <w:lang w:val="ru-RU" w:eastAsia="ru-RU" w:bidi="ru-RU"/>
    </w:rPr>
  </w:style>
  <w:style w:type="character" w:styleId="aa">
    <w:name w:val="Hyperlink"/>
    <w:basedOn w:val="a0"/>
    <w:uiPriority w:val="99"/>
    <w:unhideWhenUsed/>
    <w:rsid w:val="00B6383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421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217F"/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222B0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C01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D408B4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B2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2146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354">
                  <w:marLeft w:val="0"/>
                  <w:marRight w:val="0"/>
                  <w:marTop w:val="125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@gibank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EA85-689A-4708-848C-A421E50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ФАС</vt:lpstr>
    </vt:vector>
  </TitlesOfParts>
  <Company>Hewlett-Packard Company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ФАС</dc:title>
  <dc:creator>Волокитина А.Г.</dc:creator>
  <cp:lastModifiedBy>nikolsk</cp:lastModifiedBy>
  <cp:revision>4</cp:revision>
  <dcterms:created xsi:type="dcterms:W3CDTF">2022-03-10T09:28:00Z</dcterms:created>
  <dcterms:modified xsi:type="dcterms:W3CDTF">2022-03-10T09:28:00Z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