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98"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r w:rsidRPr="006C5176">
        <w:rPr>
          <w:rFonts w:ascii="Times New Roman" w:hAnsi="Times New Roman" w:cs="Times New Roman"/>
          <w:b/>
          <w:bCs/>
          <w:noProof/>
          <w:sz w:val="20"/>
          <w:szCs w:val="20"/>
        </w:rPr>
        <w:drawing>
          <wp:inline distT="0" distB="0" distL="0" distR="0" wp14:anchorId="26AD3DC6" wp14:editId="5F278BEE">
            <wp:extent cx="1943100" cy="1079500"/>
            <wp:effectExtent l="0" t="0" r="12700" b="1270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079500"/>
                    </a:xfrm>
                    <a:prstGeom prst="rect">
                      <a:avLst/>
                    </a:prstGeom>
                    <a:noFill/>
                    <a:ln>
                      <a:noFill/>
                    </a:ln>
                  </pic:spPr>
                </pic:pic>
              </a:graphicData>
            </a:graphic>
          </wp:inline>
        </w:drawing>
      </w:r>
    </w:p>
    <w:p w14:paraId="0CAFAE00"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AB2F53D"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E770AB0"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7E1E07F" w14:textId="74065A63"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32C677FC" w14:textId="77777777" w:rsidR="00AE0B26" w:rsidRPr="006C5176" w:rsidRDefault="00AE0B26" w:rsidP="00B62BA5">
      <w:pPr>
        <w:autoSpaceDE w:val="0"/>
        <w:autoSpaceDN w:val="0"/>
        <w:adjustRightInd w:val="0"/>
        <w:jc w:val="center"/>
        <w:rPr>
          <w:rFonts w:ascii="Times New Roman" w:hAnsi="Times New Roman" w:cs="Times New Roman"/>
          <w:b/>
          <w:bCs/>
          <w:sz w:val="20"/>
          <w:szCs w:val="20"/>
        </w:rPr>
      </w:pPr>
    </w:p>
    <w:p w14:paraId="0539163C"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02F5C74E" w14:textId="487DF707" w:rsidR="00AE0B26" w:rsidRPr="00487B19" w:rsidRDefault="00487B19" w:rsidP="00B62BA5">
      <w:pPr>
        <w:tabs>
          <w:tab w:val="left" w:pos="851"/>
          <w:tab w:val="left" w:pos="1134"/>
          <w:tab w:val="left" w:pos="7000"/>
        </w:tabs>
        <w:ind w:left="5812"/>
        <w:rPr>
          <w:rFonts w:ascii="Times New Roman" w:hAnsi="Times New Roman" w:cs="Times New Roman"/>
          <w:b/>
        </w:rPr>
      </w:pPr>
      <w:r w:rsidRPr="00740C53">
        <w:rPr>
          <w:rFonts w:ascii="Times New Roman" w:hAnsi="Times New Roman" w:cs="Times New Roman"/>
          <w:b/>
        </w:rPr>
        <w:t>УТВЕРЖД</w:t>
      </w:r>
      <w:r>
        <w:rPr>
          <w:rFonts w:ascii="Times New Roman" w:hAnsi="Times New Roman" w:cs="Times New Roman"/>
          <w:b/>
        </w:rPr>
        <w:t>ЕНО</w:t>
      </w:r>
    </w:p>
    <w:p w14:paraId="29EBBD20" w14:textId="237AA3C8" w:rsidR="00AE0B26" w:rsidRPr="00740C53" w:rsidRDefault="00102F18" w:rsidP="00B62BA5">
      <w:pPr>
        <w:tabs>
          <w:tab w:val="left" w:pos="851"/>
          <w:tab w:val="left" w:pos="1134"/>
          <w:tab w:val="left" w:pos="7000"/>
        </w:tabs>
        <w:ind w:left="5812"/>
        <w:rPr>
          <w:rFonts w:ascii="Times New Roman" w:hAnsi="Times New Roman" w:cs="Times New Roman"/>
          <w:b/>
        </w:rPr>
      </w:pPr>
      <w:r>
        <w:rPr>
          <w:rFonts w:ascii="Times New Roman" w:hAnsi="Times New Roman" w:cs="Times New Roman"/>
          <w:b/>
        </w:rPr>
        <w:t>Решением Совета директоров</w:t>
      </w:r>
    </w:p>
    <w:p w14:paraId="53C33A89" w14:textId="77777777" w:rsidR="00AE0B26" w:rsidRPr="00740C53" w:rsidRDefault="00AE0B26" w:rsidP="00B62BA5">
      <w:pPr>
        <w:tabs>
          <w:tab w:val="left" w:pos="851"/>
          <w:tab w:val="left" w:pos="1134"/>
          <w:tab w:val="left" w:pos="7000"/>
        </w:tabs>
        <w:ind w:left="5812"/>
        <w:rPr>
          <w:rFonts w:ascii="Times New Roman" w:hAnsi="Times New Roman" w:cs="Times New Roman"/>
          <w:b/>
        </w:rPr>
      </w:pPr>
      <w:r w:rsidRPr="00740C53">
        <w:rPr>
          <w:rFonts w:ascii="Times New Roman" w:hAnsi="Times New Roman" w:cs="Times New Roman"/>
          <w:b/>
        </w:rPr>
        <w:t>КБ «Гарант-Инвест» (АО)</w:t>
      </w:r>
    </w:p>
    <w:p w14:paraId="172C74B1" w14:textId="1B727110" w:rsidR="00AE0B26" w:rsidRPr="00740C53" w:rsidRDefault="00AE0B26" w:rsidP="00B62BA5">
      <w:pPr>
        <w:tabs>
          <w:tab w:val="left" w:pos="851"/>
          <w:tab w:val="left" w:pos="1134"/>
          <w:tab w:val="left" w:pos="7000"/>
        </w:tabs>
        <w:ind w:left="5812"/>
        <w:rPr>
          <w:rFonts w:ascii="Times New Roman" w:hAnsi="Times New Roman" w:cs="Times New Roman"/>
          <w:b/>
        </w:rPr>
      </w:pPr>
      <w:r w:rsidRPr="00740C53">
        <w:rPr>
          <w:rFonts w:ascii="Times New Roman" w:hAnsi="Times New Roman" w:cs="Times New Roman"/>
          <w:b/>
        </w:rPr>
        <w:t>(</w:t>
      </w:r>
      <w:r w:rsidR="00102F18">
        <w:rPr>
          <w:rFonts w:ascii="Times New Roman" w:hAnsi="Times New Roman" w:cs="Times New Roman"/>
          <w:b/>
        </w:rPr>
        <w:t>Протокол</w:t>
      </w:r>
      <w:r w:rsidR="00102F18" w:rsidRPr="00740C53">
        <w:rPr>
          <w:rFonts w:ascii="Times New Roman" w:hAnsi="Times New Roman" w:cs="Times New Roman"/>
          <w:b/>
        </w:rPr>
        <w:t xml:space="preserve"> </w:t>
      </w:r>
      <w:r w:rsidRPr="00740C53">
        <w:rPr>
          <w:rFonts w:ascii="Times New Roman" w:hAnsi="Times New Roman" w:cs="Times New Roman"/>
          <w:b/>
        </w:rPr>
        <w:t>№</w:t>
      </w:r>
      <w:r w:rsidR="00F161E3">
        <w:rPr>
          <w:rFonts w:ascii="Times New Roman" w:hAnsi="Times New Roman" w:cs="Times New Roman"/>
          <w:b/>
        </w:rPr>
        <w:t xml:space="preserve"> </w:t>
      </w:r>
      <w:r w:rsidR="000C639C">
        <w:rPr>
          <w:rFonts w:ascii="Times New Roman" w:hAnsi="Times New Roman" w:cs="Times New Roman"/>
          <w:b/>
        </w:rPr>
        <w:t>8</w:t>
      </w:r>
      <w:r w:rsidRPr="00740C53">
        <w:rPr>
          <w:rFonts w:ascii="Times New Roman" w:hAnsi="Times New Roman" w:cs="Times New Roman"/>
          <w:b/>
        </w:rPr>
        <w:t xml:space="preserve"> от</w:t>
      </w:r>
      <w:r w:rsidR="00F161E3">
        <w:rPr>
          <w:rFonts w:ascii="Times New Roman" w:hAnsi="Times New Roman" w:cs="Times New Roman"/>
          <w:b/>
        </w:rPr>
        <w:t xml:space="preserve"> </w:t>
      </w:r>
      <w:r w:rsidR="000C639C">
        <w:rPr>
          <w:rFonts w:ascii="Times New Roman" w:hAnsi="Times New Roman" w:cs="Times New Roman"/>
          <w:b/>
        </w:rPr>
        <w:t>14 марта 2023</w:t>
      </w:r>
      <w:r w:rsidR="00465C25">
        <w:rPr>
          <w:rFonts w:ascii="Times New Roman" w:hAnsi="Times New Roman" w:cs="Times New Roman"/>
          <w:b/>
        </w:rPr>
        <w:t>г.</w:t>
      </w:r>
      <w:r w:rsidRPr="00740C53">
        <w:rPr>
          <w:rFonts w:ascii="Times New Roman" w:hAnsi="Times New Roman" w:cs="Times New Roman"/>
          <w:b/>
        </w:rPr>
        <w:t>)</w:t>
      </w:r>
    </w:p>
    <w:p w14:paraId="0A31FFAC"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3B2A20A2"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5A32B4B3"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664B2CAA"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6CFD5657"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DE6269D"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1643B2A"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D3E83D6"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725490D1" w14:textId="4C6402FF" w:rsidR="00F17517" w:rsidRPr="00151701" w:rsidRDefault="00F17517" w:rsidP="00B62BA5">
      <w:pPr>
        <w:autoSpaceDE w:val="0"/>
        <w:autoSpaceDN w:val="0"/>
        <w:adjustRightInd w:val="0"/>
        <w:jc w:val="center"/>
        <w:rPr>
          <w:rFonts w:ascii="Times New Roman" w:hAnsi="Times New Roman" w:cs="Times New Roman"/>
          <w:b/>
          <w:bCs/>
          <w:sz w:val="32"/>
          <w:szCs w:val="32"/>
        </w:rPr>
      </w:pPr>
      <w:r w:rsidRPr="00151701">
        <w:rPr>
          <w:rFonts w:ascii="Times New Roman" w:hAnsi="Times New Roman" w:cs="Times New Roman"/>
          <w:b/>
          <w:bCs/>
          <w:sz w:val="32"/>
          <w:szCs w:val="32"/>
        </w:rPr>
        <w:t>МЕТОДИКА ОПРЕДЕЛЕНИЯ</w:t>
      </w:r>
    </w:p>
    <w:p w14:paraId="3144873B" w14:textId="33D3CD8D" w:rsidR="00F17517" w:rsidRPr="00151701" w:rsidRDefault="00F17517" w:rsidP="00B62BA5">
      <w:pPr>
        <w:autoSpaceDE w:val="0"/>
        <w:autoSpaceDN w:val="0"/>
        <w:adjustRightInd w:val="0"/>
        <w:jc w:val="center"/>
        <w:rPr>
          <w:rFonts w:ascii="Times New Roman" w:hAnsi="Times New Roman" w:cs="Times New Roman"/>
          <w:b/>
          <w:bCs/>
          <w:sz w:val="32"/>
          <w:szCs w:val="32"/>
        </w:rPr>
      </w:pPr>
      <w:r w:rsidRPr="00151701">
        <w:rPr>
          <w:rFonts w:ascii="Times New Roman" w:hAnsi="Times New Roman" w:cs="Times New Roman"/>
          <w:b/>
          <w:bCs/>
          <w:sz w:val="32"/>
          <w:szCs w:val="32"/>
        </w:rPr>
        <w:t>СПРАВЕДЛИВОЙ СТОИМОСТИ</w:t>
      </w:r>
    </w:p>
    <w:p w14:paraId="2D04AC17" w14:textId="5958F72E" w:rsidR="00F17517" w:rsidRPr="00151701" w:rsidRDefault="00745DDE" w:rsidP="00B62BA5">
      <w:pPr>
        <w:autoSpaceDE w:val="0"/>
        <w:autoSpaceDN w:val="0"/>
        <w:adjustRightInd w:val="0"/>
        <w:jc w:val="center"/>
        <w:rPr>
          <w:rFonts w:ascii="Times New Roman" w:hAnsi="Times New Roman" w:cs="Times New Roman"/>
          <w:b/>
          <w:bCs/>
          <w:sz w:val="32"/>
          <w:szCs w:val="32"/>
        </w:rPr>
      </w:pPr>
      <w:r w:rsidRPr="00151701">
        <w:rPr>
          <w:rFonts w:ascii="Times New Roman" w:hAnsi="Times New Roman" w:cs="Times New Roman"/>
          <w:b/>
          <w:bCs/>
          <w:sz w:val="32"/>
          <w:szCs w:val="32"/>
        </w:rPr>
        <w:t>ФИНАНСОВЫХ ИНСТРУМЕНТОВ</w:t>
      </w:r>
    </w:p>
    <w:p w14:paraId="785CB573"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7A9ED2C"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6CFC7624"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2C4D3605"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291E29DF"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05391181"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79612BE5"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FDDEC93"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FC98AF6"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1E4C4C1"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05CDB3C"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55534C56"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77A45A47"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77284A3A"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5FB49DC3"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2F152412"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5915A566"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2E77123F"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2903CCB6"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DDA2D89"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4611CC11"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33CE8636" w14:textId="77777777" w:rsidR="00F17517" w:rsidRPr="006C5176" w:rsidRDefault="00F17517" w:rsidP="00B62BA5">
      <w:pPr>
        <w:autoSpaceDE w:val="0"/>
        <w:autoSpaceDN w:val="0"/>
        <w:adjustRightInd w:val="0"/>
        <w:jc w:val="center"/>
        <w:rPr>
          <w:rFonts w:ascii="Times New Roman" w:hAnsi="Times New Roman" w:cs="Times New Roman"/>
          <w:b/>
          <w:bCs/>
          <w:sz w:val="20"/>
          <w:szCs w:val="20"/>
        </w:rPr>
      </w:pPr>
    </w:p>
    <w:p w14:paraId="14FF9DE3" w14:textId="77777777" w:rsidR="00E517D3" w:rsidRPr="006C5176" w:rsidRDefault="00E517D3" w:rsidP="00B62BA5">
      <w:pPr>
        <w:autoSpaceDE w:val="0"/>
        <w:autoSpaceDN w:val="0"/>
        <w:adjustRightInd w:val="0"/>
        <w:jc w:val="center"/>
        <w:rPr>
          <w:rFonts w:ascii="Times New Roman" w:hAnsi="Times New Roman" w:cs="Times New Roman"/>
          <w:b/>
          <w:bCs/>
          <w:sz w:val="20"/>
          <w:szCs w:val="20"/>
        </w:rPr>
      </w:pPr>
    </w:p>
    <w:p w14:paraId="2D58BFE5" w14:textId="6F4EED90" w:rsidR="00E517D3" w:rsidRDefault="00E517D3" w:rsidP="00B62BA5">
      <w:pPr>
        <w:autoSpaceDE w:val="0"/>
        <w:autoSpaceDN w:val="0"/>
        <w:adjustRightInd w:val="0"/>
        <w:jc w:val="center"/>
        <w:rPr>
          <w:rFonts w:ascii="Times New Roman" w:hAnsi="Times New Roman" w:cs="Times New Roman"/>
          <w:b/>
          <w:bCs/>
          <w:sz w:val="20"/>
          <w:szCs w:val="20"/>
        </w:rPr>
      </w:pPr>
    </w:p>
    <w:p w14:paraId="41FCAC04" w14:textId="155FF54A" w:rsidR="00740C53" w:rsidRDefault="00740C53" w:rsidP="00B62BA5">
      <w:pPr>
        <w:autoSpaceDE w:val="0"/>
        <w:autoSpaceDN w:val="0"/>
        <w:adjustRightInd w:val="0"/>
        <w:jc w:val="center"/>
        <w:rPr>
          <w:rFonts w:ascii="Times New Roman" w:hAnsi="Times New Roman" w:cs="Times New Roman"/>
          <w:b/>
          <w:bCs/>
          <w:sz w:val="20"/>
          <w:szCs w:val="20"/>
        </w:rPr>
      </w:pPr>
    </w:p>
    <w:p w14:paraId="1D51D793" w14:textId="67C7E503" w:rsidR="00740C53" w:rsidRDefault="00740C53" w:rsidP="00B62BA5">
      <w:pPr>
        <w:autoSpaceDE w:val="0"/>
        <w:autoSpaceDN w:val="0"/>
        <w:adjustRightInd w:val="0"/>
        <w:jc w:val="center"/>
        <w:rPr>
          <w:rFonts w:ascii="Times New Roman" w:hAnsi="Times New Roman" w:cs="Times New Roman"/>
          <w:b/>
          <w:bCs/>
          <w:sz w:val="20"/>
          <w:szCs w:val="20"/>
        </w:rPr>
      </w:pPr>
    </w:p>
    <w:p w14:paraId="7AA99048" w14:textId="3C09B52B" w:rsidR="00740C53" w:rsidRDefault="00740C53" w:rsidP="00B62BA5">
      <w:pPr>
        <w:autoSpaceDE w:val="0"/>
        <w:autoSpaceDN w:val="0"/>
        <w:adjustRightInd w:val="0"/>
        <w:jc w:val="center"/>
        <w:rPr>
          <w:rFonts w:ascii="Times New Roman" w:hAnsi="Times New Roman" w:cs="Times New Roman"/>
          <w:b/>
          <w:bCs/>
          <w:sz w:val="20"/>
          <w:szCs w:val="20"/>
        </w:rPr>
      </w:pPr>
    </w:p>
    <w:p w14:paraId="5B77FF59" w14:textId="258BD32C" w:rsidR="00151701" w:rsidRDefault="00151701" w:rsidP="00B62BA5">
      <w:pPr>
        <w:autoSpaceDE w:val="0"/>
        <w:autoSpaceDN w:val="0"/>
        <w:adjustRightInd w:val="0"/>
        <w:jc w:val="center"/>
        <w:rPr>
          <w:rFonts w:ascii="Times New Roman" w:hAnsi="Times New Roman" w:cs="Times New Roman"/>
          <w:b/>
          <w:bCs/>
          <w:sz w:val="20"/>
          <w:szCs w:val="20"/>
        </w:rPr>
      </w:pPr>
    </w:p>
    <w:p w14:paraId="003110A9" w14:textId="77777777" w:rsidR="00151701" w:rsidRDefault="00151701" w:rsidP="00B62BA5">
      <w:pPr>
        <w:autoSpaceDE w:val="0"/>
        <w:autoSpaceDN w:val="0"/>
        <w:adjustRightInd w:val="0"/>
        <w:jc w:val="center"/>
        <w:rPr>
          <w:rFonts w:ascii="Times New Roman" w:hAnsi="Times New Roman" w:cs="Times New Roman"/>
          <w:b/>
          <w:bCs/>
          <w:sz w:val="20"/>
          <w:szCs w:val="20"/>
        </w:rPr>
      </w:pPr>
    </w:p>
    <w:p w14:paraId="6AD67A07" w14:textId="411442CC" w:rsidR="00740C53" w:rsidRDefault="00740C53" w:rsidP="00B62BA5">
      <w:pPr>
        <w:autoSpaceDE w:val="0"/>
        <w:autoSpaceDN w:val="0"/>
        <w:adjustRightInd w:val="0"/>
        <w:jc w:val="center"/>
        <w:rPr>
          <w:rFonts w:ascii="Times New Roman" w:hAnsi="Times New Roman" w:cs="Times New Roman"/>
          <w:b/>
          <w:bCs/>
          <w:sz w:val="20"/>
          <w:szCs w:val="20"/>
        </w:rPr>
      </w:pPr>
    </w:p>
    <w:p w14:paraId="41536772" w14:textId="37B46A5D" w:rsidR="00740C53" w:rsidRDefault="00740C53" w:rsidP="00B62BA5">
      <w:pPr>
        <w:autoSpaceDE w:val="0"/>
        <w:autoSpaceDN w:val="0"/>
        <w:adjustRightInd w:val="0"/>
        <w:jc w:val="center"/>
        <w:rPr>
          <w:rFonts w:ascii="Times New Roman" w:hAnsi="Times New Roman" w:cs="Times New Roman"/>
          <w:b/>
          <w:bCs/>
          <w:sz w:val="20"/>
          <w:szCs w:val="20"/>
        </w:rPr>
      </w:pPr>
    </w:p>
    <w:p w14:paraId="1F61457B" w14:textId="64706CFC" w:rsidR="00740C53" w:rsidRDefault="00740C53" w:rsidP="00B62BA5">
      <w:pPr>
        <w:autoSpaceDE w:val="0"/>
        <w:autoSpaceDN w:val="0"/>
        <w:adjustRightInd w:val="0"/>
        <w:jc w:val="center"/>
        <w:rPr>
          <w:rFonts w:ascii="Times New Roman" w:hAnsi="Times New Roman" w:cs="Times New Roman"/>
          <w:b/>
          <w:bCs/>
          <w:sz w:val="20"/>
          <w:szCs w:val="20"/>
        </w:rPr>
      </w:pPr>
    </w:p>
    <w:p w14:paraId="4811DE68" w14:textId="708E13F8" w:rsidR="00151701" w:rsidRDefault="00151701" w:rsidP="00B62BA5">
      <w:pPr>
        <w:autoSpaceDE w:val="0"/>
        <w:autoSpaceDN w:val="0"/>
        <w:adjustRightInd w:val="0"/>
        <w:jc w:val="center"/>
        <w:rPr>
          <w:rFonts w:ascii="Times New Roman" w:hAnsi="Times New Roman" w:cs="Times New Roman"/>
          <w:b/>
          <w:bCs/>
          <w:sz w:val="20"/>
          <w:szCs w:val="20"/>
        </w:rPr>
      </w:pPr>
    </w:p>
    <w:p w14:paraId="15A10948" w14:textId="77777777" w:rsidR="00151701" w:rsidRDefault="00151701" w:rsidP="00B62BA5">
      <w:pPr>
        <w:autoSpaceDE w:val="0"/>
        <w:autoSpaceDN w:val="0"/>
        <w:adjustRightInd w:val="0"/>
        <w:jc w:val="center"/>
        <w:rPr>
          <w:rFonts w:ascii="Times New Roman" w:hAnsi="Times New Roman" w:cs="Times New Roman"/>
          <w:b/>
          <w:bCs/>
          <w:sz w:val="20"/>
          <w:szCs w:val="20"/>
        </w:rPr>
      </w:pPr>
    </w:p>
    <w:p w14:paraId="07E02278" w14:textId="77777777" w:rsidR="00740C53" w:rsidRPr="006C5176" w:rsidRDefault="00740C53" w:rsidP="00B62BA5">
      <w:pPr>
        <w:autoSpaceDE w:val="0"/>
        <w:autoSpaceDN w:val="0"/>
        <w:adjustRightInd w:val="0"/>
        <w:jc w:val="center"/>
        <w:rPr>
          <w:rFonts w:ascii="Times New Roman" w:hAnsi="Times New Roman" w:cs="Times New Roman"/>
          <w:b/>
          <w:bCs/>
          <w:sz w:val="20"/>
          <w:szCs w:val="20"/>
        </w:rPr>
      </w:pPr>
    </w:p>
    <w:p w14:paraId="40C67109" w14:textId="444DD902" w:rsidR="00F17517" w:rsidRPr="00740C53" w:rsidRDefault="00F17517" w:rsidP="00B62BA5">
      <w:pPr>
        <w:autoSpaceDE w:val="0"/>
        <w:autoSpaceDN w:val="0"/>
        <w:adjustRightInd w:val="0"/>
        <w:jc w:val="center"/>
        <w:rPr>
          <w:rFonts w:ascii="Times New Roman" w:hAnsi="Times New Roman" w:cs="Times New Roman"/>
          <w:b/>
          <w:bCs/>
        </w:rPr>
      </w:pPr>
      <w:r w:rsidRPr="00740C53">
        <w:rPr>
          <w:rFonts w:ascii="Times New Roman" w:hAnsi="Times New Roman" w:cs="Times New Roman"/>
          <w:b/>
          <w:bCs/>
        </w:rPr>
        <w:t xml:space="preserve">Москва, </w:t>
      </w:r>
      <w:r w:rsidR="00972D5D" w:rsidRPr="00740C53">
        <w:rPr>
          <w:rFonts w:ascii="Times New Roman" w:hAnsi="Times New Roman" w:cs="Times New Roman"/>
          <w:b/>
          <w:bCs/>
        </w:rPr>
        <w:t>202</w:t>
      </w:r>
      <w:r w:rsidR="00972D5D">
        <w:rPr>
          <w:rFonts w:ascii="Times New Roman" w:hAnsi="Times New Roman" w:cs="Times New Roman"/>
          <w:b/>
          <w:bCs/>
        </w:rPr>
        <w:t>3</w:t>
      </w:r>
      <w:r w:rsidR="00972D5D" w:rsidRPr="00740C53">
        <w:rPr>
          <w:rFonts w:ascii="Times New Roman" w:hAnsi="Times New Roman" w:cs="Times New Roman"/>
          <w:b/>
          <w:bCs/>
        </w:rPr>
        <w:t xml:space="preserve"> </w:t>
      </w:r>
      <w:r w:rsidRPr="00740C53">
        <w:rPr>
          <w:rFonts w:ascii="Times New Roman" w:hAnsi="Times New Roman" w:cs="Times New Roman"/>
          <w:b/>
          <w:bCs/>
        </w:rPr>
        <w:t>год</w:t>
      </w:r>
    </w:p>
    <w:p w14:paraId="17EB2CA1" w14:textId="77777777" w:rsidR="000324FD" w:rsidRPr="00BB1E15" w:rsidRDefault="00ED0CD3">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lastRenderedPageBreak/>
        <w:t>Общие положения</w:t>
      </w:r>
    </w:p>
    <w:p w14:paraId="341BE578" w14:textId="77777777" w:rsidR="00200364" w:rsidRPr="00BB1E15" w:rsidRDefault="00200364" w:rsidP="00B62BA5">
      <w:pPr>
        <w:pStyle w:val="20"/>
        <w:shd w:val="clear" w:color="auto" w:fill="auto"/>
        <w:tabs>
          <w:tab w:val="left" w:pos="783"/>
        </w:tabs>
        <w:spacing w:line="240" w:lineRule="auto"/>
        <w:ind w:firstLine="0"/>
        <w:jc w:val="both"/>
        <w:rPr>
          <w:sz w:val="24"/>
          <w:szCs w:val="24"/>
        </w:rPr>
      </w:pPr>
    </w:p>
    <w:p w14:paraId="2D3F034A" w14:textId="49C16BF1" w:rsidR="000324FD" w:rsidRPr="00BB1E15" w:rsidRDefault="001B09EB">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Настоящая</w:t>
      </w:r>
      <w:r w:rsidR="00211D69" w:rsidRPr="00BB1E15">
        <w:rPr>
          <w:rFonts w:ascii="Times New Roman" w:hAnsi="Times New Roman" w:cs="Times New Roman"/>
        </w:rPr>
        <w:t xml:space="preserve"> </w:t>
      </w:r>
      <w:r w:rsidRPr="00BB1E15">
        <w:rPr>
          <w:rFonts w:ascii="Times New Roman" w:hAnsi="Times New Roman" w:cs="Times New Roman"/>
        </w:rPr>
        <w:t xml:space="preserve">Методика </w:t>
      </w:r>
      <w:r w:rsidR="00211D69" w:rsidRPr="00BB1E15">
        <w:rPr>
          <w:rFonts w:ascii="Times New Roman" w:hAnsi="Times New Roman" w:cs="Times New Roman"/>
        </w:rPr>
        <w:t>определения справедливой</w:t>
      </w:r>
      <w:r w:rsidR="00511A35" w:rsidRPr="00BB1E15">
        <w:rPr>
          <w:rFonts w:ascii="Times New Roman" w:hAnsi="Times New Roman" w:cs="Times New Roman"/>
        </w:rPr>
        <w:t xml:space="preserve"> стоимости </w:t>
      </w:r>
      <w:r w:rsidR="00547892" w:rsidRPr="00BB1E15">
        <w:rPr>
          <w:rFonts w:ascii="Times New Roman" w:hAnsi="Times New Roman" w:cs="Times New Roman"/>
        </w:rPr>
        <w:t>финансовых инструментов</w:t>
      </w:r>
      <w:r w:rsidR="00511A35" w:rsidRPr="00BB1E15">
        <w:rPr>
          <w:rFonts w:ascii="Times New Roman" w:hAnsi="Times New Roman" w:cs="Times New Roman"/>
        </w:rPr>
        <w:t xml:space="preserve"> (далее</w:t>
      </w:r>
      <w:r w:rsidR="00211D69" w:rsidRPr="00BB1E15">
        <w:rPr>
          <w:rFonts w:ascii="Times New Roman" w:hAnsi="Times New Roman" w:cs="Times New Roman"/>
        </w:rPr>
        <w:t xml:space="preserve"> </w:t>
      </w:r>
      <w:r w:rsidR="00511A35" w:rsidRPr="00BB1E15">
        <w:rPr>
          <w:rFonts w:ascii="Times New Roman" w:hAnsi="Times New Roman" w:cs="Times New Roman"/>
        </w:rPr>
        <w:t xml:space="preserve">– </w:t>
      </w:r>
      <w:r w:rsidR="00200364" w:rsidRPr="00BB1E15">
        <w:rPr>
          <w:rFonts w:ascii="Times New Roman" w:hAnsi="Times New Roman" w:cs="Times New Roman"/>
        </w:rPr>
        <w:t>Методика</w:t>
      </w:r>
      <w:r w:rsidR="00211D69" w:rsidRPr="00BB1E15">
        <w:rPr>
          <w:rFonts w:ascii="Times New Roman" w:hAnsi="Times New Roman" w:cs="Times New Roman"/>
        </w:rPr>
        <w:t xml:space="preserve">) устанавливает </w:t>
      </w:r>
      <w:r w:rsidR="00511A35" w:rsidRPr="00BB1E15">
        <w:rPr>
          <w:rFonts w:ascii="Times New Roman" w:hAnsi="Times New Roman" w:cs="Times New Roman"/>
        </w:rPr>
        <w:t>порядок</w:t>
      </w:r>
      <w:r w:rsidR="00211D69" w:rsidRPr="00BB1E15">
        <w:rPr>
          <w:rFonts w:ascii="Times New Roman" w:hAnsi="Times New Roman" w:cs="Times New Roman"/>
        </w:rPr>
        <w:t xml:space="preserve"> определения </w:t>
      </w:r>
      <w:r w:rsidR="008522F6" w:rsidRPr="00BB1E15">
        <w:rPr>
          <w:rFonts w:ascii="Times New Roman" w:hAnsi="Times New Roman" w:cs="Times New Roman"/>
        </w:rPr>
        <w:t xml:space="preserve">КБ «Гарант-Инвест» (АО) (далее – Банк) </w:t>
      </w:r>
      <w:r w:rsidR="00211D69" w:rsidRPr="00BB1E15">
        <w:rPr>
          <w:rFonts w:ascii="Times New Roman" w:hAnsi="Times New Roman" w:cs="Times New Roman"/>
        </w:rPr>
        <w:t>справедливой стоимости</w:t>
      </w:r>
      <w:r w:rsidR="00F70DA4" w:rsidRPr="00BB1E15">
        <w:rPr>
          <w:rFonts w:ascii="Times New Roman" w:hAnsi="Times New Roman" w:cs="Times New Roman"/>
        </w:rPr>
        <w:t xml:space="preserve"> </w:t>
      </w:r>
      <w:r w:rsidR="002A2310" w:rsidRPr="00BB1E15">
        <w:rPr>
          <w:rFonts w:ascii="Times New Roman" w:hAnsi="Times New Roman" w:cs="Times New Roman"/>
        </w:rPr>
        <w:t>финансовых инструментов</w:t>
      </w:r>
      <w:r w:rsidR="00211D69" w:rsidRPr="00BB1E15">
        <w:rPr>
          <w:rFonts w:ascii="Times New Roman" w:hAnsi="Times New Roman" w:cs="Times New Roman"/>
        </w:rPr>
        <w:t xml:space="preserve">, </w:t>
      </w:r>
      <w:r w:rsidR="00511A35" w:rsidRPr="00BB1E15">
        <w:rPr>
          <w:rFonts w:ascii="Times New Roman" w:hAnsi="Times New Roman" w:cs="Times New Roman"/>
        </w:rPr>
        <w:t xml:space="preserve">методы оценки </w:t>
      </w:r>
      <w:r w:rsidR="002A2310" w:rsidRPr="00BB1E15">
        <w:rPr>
          <w:rFonts w:ascii="Times New Roman" w:hAnsi="Times New Roman" w:cs="Times New Roman"/>
        </w:rPr>
        <w:t>финансовых инструментов</w:t>
      </w:r>
      <w:r w:rsidR="00511A35" w:rsidRPr="00BB1E15">
        <w:rPr>
          <w:rFonts w:ascii="Times New Roman" w:hAnsi="Times New Roman" w:cs="Times New Roman"/>
        </w:rPr>
        <w:t xml:space="preserve"> по справедливой стоимости, исходных данных и принимаемых допущений, критериев адекватности оценки, а также контроль за определением справедливой стоимости</w:t>
      </w:r>
      <w:r w:rsidR="00211D69" w:rsidRPr="00BB1E15">
        <w:rPr>
          <w:rFonts w:ascii="Times New Roman" w:hAnsi="Times New Roman" w:cs="Times New Roman"/>
        </w:rPr>
        <w:t>.</w:t>
      </w:r>
    </w:p>
    <w:p w14:paraId="656DE76D" w14:textId="77777777" w:rsidR="000324FD" w:rsidRPr="00BB1E15" w:rsidRDefault="006B5B48">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Настоящая </w:t>
      </w:r>
      <w:r w:rsidR="00200364" w:rsidRPr="00BB1E15">
        <w:rPr>
          <w:rFonts w:ascii="Times New Roman" w:hAnsi="Times New Roman" w:cs="Times New Roman"/>
        </w:rPr>
        <w:t>Методика</w:t>
      </w:r>
      <w:r w:rsidR="00211D69" w:rsidRPr="00BB1E15">
        <w:rPr>
          <w:rFonts w:ascii="Times New Roman" w:hAnsi="Times New Roman" w:cs="Times New Roman"/>
        </w:rPr>
        <w:t xml:space="preserve"> разработан</w:t>
      </w:r>
      <w:r w:rsidR="00200364" w:rsidRPr="00BB1E15">
        <w:rPr>
          <w:rFonts w:ascii="Times New Roman" w:hAnsi="Times New Roman" w:cs="Times New Roman"/>
        </w:rPr>
        <w:t>а</w:t>
      </w:r>
      <w:r w:rsidR="00211D69" w:rsidRPr="00BB1E15">
        <w:rPr>
          <w:rFonts w:ascii="Times New Roman" w:hAnsi="Times New Roman" w:cs="Times New Roman"/>
        </w:rPr>
        <w:t xml:space="preserve"> в соответствии</w:t>
      </w:r>
      <w:r w:rsidR="00F17BD0" w:rsidRPr="00BB1E15">
        <w:rPr>
          <w:rFonts w:ascii="Times New Roman" w:hAnsi="Times New Roman" w:cs="Times New Roman"/>
        </w:rPr>
        <w:t xml:space="preserve"> с</w:t>
      </w:r>
      <w:r w:rsidR="00211D69" w:rsidRPr="00BB1E15">
        <w:rPr>
          <w:rFonts w:ascii="Times New Roman" w:hAnsi="Times New Roman" w:cs="Times New Roman"/>
        </w:rPr>
        <w:t>:</w:t>
      </w:r>
    </w:p>
    <w:p w14:paraId="44542D9E" w14:textId="201EFAFB" w:rsidR="000324FD" w:rsidRPr="00BB1E15" w:rsidRDefault="00B729BF"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00335A7C" w:rsidRPr="00BB1E15">
        <w:rPr>
          <w:rFonts w:ascii="Times New Roman" w:hAnsi="Times New Roman" w:cs="Times New Roman"/>
        </w:rPr>
        <w:t>Федеральным законом от 22.04.1996 № 39-ФЗ «О рынке ценных бумаг»</w:t>
      </w:r>
      <w:r w:rsidR="00AD2B5D" w:rsidRPr="00BB1E15">
        <w:rPr>
          <w:rFonts w:ascii="Times New Roman" w:hAnsi="Times New Roman" w:cs="Times New Roman"/>
        </w:rPr>
        <w:t xml:space="preserve"> (далее – Федеральный закон №39-ФЗ)</w:t>
      </w:r>
      <w:r w:rsidR="00211D69" w:rsidRPr="00BB1E15">
        <w:rPr>
          <w:rFonts w:ascii="Times New Roman" w:hAnsi="Times New Roman" w:cs="Times New Roman"/>
        </w:rPr>
        <w:t>;</w:t>
      </w:r>
    </w:p>
    <w:p w14:paraId="6C66EB40" w14:textId="6676DD9A" w:rsidR="00335A7C" w:rsidRPr="00BB1E15" w:rsidRDefault="00B729BF"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00335A7C" w:rsidRPr="00BB1E15">
        <w:rPr>
          <w:rFonts w:ascii="Times New Roman" w:hAnsi="Times New Roman" w:cs="Times New Roman"/>
        </w:rPr>
        <w:t xml:space="preserve">Положением Банка России от </w:t>
      </w:r>
      <w:r w:rsidR="006A5CD5" w:rsidRPr="006A5CD5">
        <w:rPr>
          <w:rFonts w:ascii="Times New Roman" w:hAnsi="Times New Roman" w:cs="Times New Roman"/>
        </w:rPr>
        <w:t xml:space="preserve">24.11.2022 </w:t>
      </w:r>
      <w:r w:rsidR="00335A7C" w:rsidRPr="00BB1E15">
        <w:rPr>
          <w:rFonts w:ascii="Times New Roman" w:hAnsi="Times New Roman" w:cs="Times New Roman"/>
        </w:rPr>
        <w:t xml:space="preserve">№ </w:t>
      </w:r>
      <w:r w:rsidR="00972D5D">
        <w:rPr>
          <w:rFonts w:ascii="Times New Roman" w:hAnsi="Times New Roman" w:cs="Times New Roman"/>
        </w:rPr>
        <w:t>809-П</w:t>
      </w:r>
      <w:r w:rsidR="00335A7C" w:rsidRPr="00BB1E15">
        <w:rPr>
          <w:rFonts w:ascii="Times New Roman" w:hAnsi="Times New Roman" w:cs="Times New Roman"/>
        </w:rPr>
        <w:t xml:space="preserve"> «О плане счетов бухгалтерского учета для кредитных организаций и порядке его применения»;</w:t>
      </w:r>
    </w:p>
    <w:p w14:paraId="74162547" w14:textId="44623201" w:rsidR="004D1321" w:rsidRPr="00BB1E15" w:rsidRDefault="004D1321"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Pr="00BB1E15">
        <w:rPr>
          <w:rFonts w:ascii="Times New Roman" w:hAnsi="Times New Roman" w:cs="Times New Roman"/>
        </w:rPr>
        <w:t>Положением Банка России от 02.10.2017 №606-П «О порядке отражения на счетах бухгалтерского учета кредитными организациями операций с ценными бумагами»;</w:t>
      </w:r>
    </w:p>
    <w:p w14:paraId="1AA2568F" w14:textId="0914BCF5" w:rsidR="00CC105B" w:rsidRPr="00BB1E15" w:rsidRDefault="00CC105B"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Pr="00BB1E15">
        <w:rPr>
          <w:rFonts w:ascii="Times New Roman" w:hAnsi="Times New Roman" w:cs="Times New Roman"/>
        </w:rPr>
        <w:t>Положением Банка России от 04.07.2011 №372-П «О порядке бухгалтерского учета производных финансовых инструментов»</w:t>
      </w:r>
      <w:r w:rsidR="00FF6650" w:rsidRPr="00BB1E15">
        <w:rPr>
          <w:rFonts w:ascii="Times New Roman" w:hAnsi="Times New Roman" w:cs="Times New Roman"/>
        </w:rPr>
        <w:t xml:space="preserve"> (далее – Положение Банка России №372-П)</w:t>
      </w:r>
      <w:r w:rsidRPr="00BB1E15">
        <w:rPr>
          <w:rFonts w:ascii="Times New Roman" w:hAnsi="Times New Roman" w:cs="Times New Roman"/>
        </w:rPr>
        <w:t>;</w:t>
      </w:r>
    </w:p>
    <w:p w14:paraId="09ED320F" w14:textId="1BE42DC0" w:rsidR="008972C3" w:rsidRPr="00BB1E15" w:rsidRDefault="008972C3"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Pr="00BB1E15">
        <w:rPr>
          <w:rFonts w:ascii="Times New Roman" w:hAnsi="Times New Roman" w:cs="Times New Roman"/>
        </w:rPr>
        <w:t>Указанием Банка России от 16.02.2015 №3565-У «О видах производных финансовых инструментов»;</w:t>
      </w:r>
    </w:p>
    <w:p w14:paraId="6C098183" w14:textId="09CCFDE6" w:rsidR="008972C3" w:rsidRPr="00BB1E15" w:rsidRDefault="008972C3"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Pr="00BB1E15">
        <w:rPr>
          <w:rFonts w:ascii="Times New Roman" w:hAnsi="Times New Roman" w:cs="Times New Roman"/>
        </w:rPr>
        <w:t>Указанием Банка России от 07.10.2014 №3413-У «О порядке определения расчетной стоимости финансовых инструментов срочных сделок, не обращающихся на организованном рынке, в целях 25 главы Налогового кодекса Российской Федерации»</w:t>
      </w:r>
      <w:r w:rsidR="00CE5961" w:rsidRPr="00BB1E15">
        <w:rPr>
          <w:rFonts w:ascii="Times New Roman" w:hAnsi="Times New Roman" w:cs="Times New Roman"/>
        </w:rPr>
        <w:t xml:space="preserve"> (далее – Указание</w:t>
      </w:r>
      <w:r w:rsidR="00924B98" w:rsidRPr="00BB1E15">
        <w:rPr>
          <w:rFonts w:ascii="Times New Roman" w:hAnsi="Times New Roman" w:cs="Times New Roman"/>
        </w:rPr>
        <w:t xml:space="preserve"> Банка России</w:t>
      </w:r>
      <w:r w:rsidR="00CE5961" w:rsidRPr="00BB1E15">
        <w:rPr>
          <w:rFonts w:ascii="Times New Roman" w:hAnsi="Times New Roman" w:cs="Times New Roman"/>
        </w:rPr>
        <w:t xml:space="preserve"> №3413-У)</w:t>
      </w:r>
      <w:r w:rsidRPr="00BB1E15">
        <w:rPr>
          <w:rFonts w:ascii="Times New Roman" w:hAnsi="Times New Roman" w:cs="Times New Roman"/>
        </w:rPr>
        <w:t>;</w:t>
      </w:r>
    </w:p>
    <w:p w14:paraId="5566E30C" w14:textId="2F319C15" w:rsidR="009D3BF2" w:rsidRPr="00BB1E15" w:rsidRDefault="009D3BF2"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РФ от 09.11.2010 № 10-65/пз-н;</w:t>
      </w:r>
    </w:p>
    <w:p w14:paraId="45BA5713" w14:textId="3F2DAF8D" w:rsidR="008972C3" w:rsidRPr="00BB1E15" w:rsidRDefault="008972C3"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Pr="00BB1E15">
        <w:rPr>
          <w:rFonts w:ascii="Times New Roman" w:hAnsi="Times New Roman" w:cs="Times New Roman"/>
        </w:rPr>
        <w:t>Порядком определения расчетной цены ценных бумаг, не обращающихся на организованном рынке ценных бумаг, в целях 25 главы Налогового кодекса Российской Федерации, утвержденным Приказом ФСФР РФ от 09.11.2010 №10-66/пз-н</w:t>
      </w:r>
      <w:r w:rsidR="00100773" w:rsidRPr="00BB1E15">
        <w:rPr>
          <w:rFonts w:ascii="Times New Roman" w:hAnsi="Times New Roman" w:cs="Times New Roman"/>
        </w:rPr>
        <w:t xml:space="preserve"> (далее – Приказ ФСФР №10-66/пз-н)</w:t>
      </w:r>
      <w:r w:rsidRPr="00BB1E15">
        <w:rPr>
          <w:rFonts w:ascii="Times New Roman" w:hAnsi="Times New Roman" w:cs="Times New Roman"/>
        </w:rPr>
        <w:t>;</w:t>
      </w:r>
    </w:p>
    <w:p w14:paraId="435BE2D2" w14:textId="4AB03A6B" w:rsidR="00335A7C" w:rsidRPr="00BB1E15" w:rsidRDefault="00B729BF"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00335A7C" w:rsidRPr="00BB1E15">
        <w:rPr>
          <w:rFonts w:ascii="Times New Roman" w:hAnsi="Times New Roman" w:cs="Times New Roman"/>
        </w:rPr>
        <w:t>Письмом Банка России от 06.03.2013 №37-Т «О мерах по контролю за достоверностью отражения кредитными организациями активов по справедливой стоимости»</w:t>
      </w:r>
      <w:r w:rsidR="006A58BC" w:rsidRPr="00BB1E15">
        <w:rPr>
          <w:rFonts w:ascii="Times New Roman" w:hAnsi="Times New Roman" w:cs="Times New Roman"/>
        </w:rPr>
        <w:t xml:space="preserve"> (далее – Письмо Банка России № 37-Т)</w:t>
      </w:r>
      <w:r w:rsidR="00335A7C" w:rsidRPr="00BB1E15">
        <w:rPr>
          <w:rFonts w:ascii="Times New Roman" w:hAnsi="Times New Roman" w:cs="Times New Roman"/>
        </w:rPr>
        <w:t>;</w:t>
      </w:r>
    </w:p>
    <w:p w14:paraId="371973C6" w14:textId="24EAA7C8" w:rsidR="00335A7C" w:rsidRPr="00BB1E15" w:rsidRDefault="00B729BF"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00335A7C" w:rsidRPr="00BB1E15">
        <w:rPr>
          <w:rFonts w:ascii="Times New Roman" w:hAnsi="Times New Roman" w:cs="Times New Roman"/>
        </w:rPr>
        <w:t>Письмом Банка России от 29.12.2009 №186-Т «О Методических рекомендациях «Об оценке финансовых инструментов по текущей (справедливой) стоимости»</w:t>
      </w:r>
      <w:r w:rsidR="00F35F77" w:rsidRPr="00BB1E15">
        <w:rPr>
          <w:rFonts w:ascii="Times New Roman" w:hAnsi="Times New Roman" w:cs="Times New Roman"/>
        </w:rPr>
        <w:t xml:space="preserve"> (далее – Письмо Банка России №186-Т)</w:t>
      </w:r>
      <w:r w:rsidR="00335A7C" w:rsidRPr="00BB1E15">
        <w:rPr>
          <w:rFonts w:ascii="Times New Roman" w:hAnsi="Times New Roman" w:cs="Times New Roman"/>
        </w:rPr>
        <w:t>;</w:t>
      </w:r>
    </w:p>
    <w:p w14:paraId="667B3278" w14:textId="5950C9F6" w:rsidR="00335A7C" w:rsidRPr="00BB1E15" w:rsidRDefault="00B729BF"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00335A7C" w:rsidRPr="00BB1E15">
        <w:rPr>
          <w:rFonts w:ascii="Times New Roman" w:hAnsi="Times New Roman" w:cs="Times New Roman"/>
        </w:rPr>
        <w:t>Международным стандартом финансовой отчетности (IFRS) 13 «Оценка справедливой стоимости»;</w:t>
      </w:r>
    </w:p>
    <w:p w14:paraId="485B9944" w14:textId="19B3A855" w:rsidR="004D1321" w:rsidRPr="00BB1E15" w:rsidRDefault="004D1321"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Pr="00BB1E15">
        <w:rPr>
          <w:rFonts w:ascii="Times New Roman" w:hAnsi="Times New Roman" w:cs="Times New Roman"/>
        </w:rPr>
        <w:t>Международным стандартом финансовой отчетности (IFRS) 9 «Финансовые инструменты»;</w:t>
      </w:r>
    </w:p>
    <w:p w14:paraId="1F4C00A2" w14:textId="2821B3B1" w:rsidR="00335A7C" w:rsidRPr="00BB1E15" w:rsidRDefault="00B729BF"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w:t>
      </w:r>
      <w:r w:rsidR="00942CD3" w:rsidRPr="00BB1E15">
        <w:rPr>
          <w:rFonts w:ascii="Times New Roman" w:hAnsi="Times New Roman" w:cs="Times New Roman"/>
        </w:rPr>
        <w:t> </w:t>
      </w:r>
      <w:r w:rsidR="00211D69" w:rsidRPr="00BB1E15">
        <w:rPr>
          <w:rFonts w:ascii="Times New Roman" w:hAnsi="Times New Roman" w:cs="Times New Roman"/>
        </w:rPr>
        <w:t xml:space="preserve">Учетной политикой </w:t>
      </w:r>
      <w:r w:rsidR="008522F6" w:rsidRPr="00BB1E15">
        <w:rPr>
          <w:rFonts w:ascii="Times New Roman" w:hAnsi="Times New Roman" w:cs="Times New Roman"/>
        </w:rPr>
        <w:t>КБ «Гарант-Инвест» (АО)</w:t>
      </w:r>
      <w:r w:rsidR="00DE4CBD" w:rsidRPr="00BB1E15">
        <w:rPr>
          <w:rFonts w:ascii="Times New Roman" w:hAnsi="Times New Roman" w:cs="Times New Roman"/>
        </w:rPr>
        <w:t xml:space="preserve"> (далее – Учетная политика Банка)</w:t>
      </w:r>
      <w:r w:rsidR="00335A7C" w:rsidRPr="00BB1E15">
        <w:rPr>
          <w:rFonts w:ascii="Times New Roman" w:hAnsi="Times New Roman" w:cs="Times New Roman"/>
        </w:rPr>
        <w:t>.</w:t>
      </w:r>
    </w:p>
    <w:p w14:paraId="41C114ED" w14:textId="77777777" w:rsidR="006B5B48" w:rsidRPr="00BB1E15" w:rsidRDefault="006B5B48" w:rsidP="00B62BA5">
      <w:pPr>
        <w:pStyle w:val="20"/>
        <w:shd w:val="clear" w:color="auto" w:fill="auto"/>
        <w:tabs>
          <w:tab w:val="left" w:pos="783"/>
        </w:tabs>
        <w:spacing w:line="240" w:lineRule="auto"/>
        <w:ind w:firstLine="0"/>
        <w:jc w:val="both"/>
        <w:rPr>
          <w:sz w:val="24"/>
          <w:szCs w:val="24"/>
        </w:rPr>
      </w:pPr>
    </w:p>
    <w:p w14:paraId="274CAC47" w14:textId="77777777" w:rsidR="006B5B48" w:rsidRPr="00BB1E15" w:rsidRDefault="00ED0CD3">
      <w:pPr>
        <w:pStyle w:val="a8"/>
        <w:keepNext/>
        <w:keepLines/>
        <w:numPr>
          <w:ilvl w:val="0"/>
          <w:numId w:val="3"/>
        </w:numPr>
        <w:tabs>
          <w:tab w:val="left" w:pos="1035"/>
        </w:tabs>
        <w:jc w:val="center"/>
        <w:outlineLvl w:val="3"/>
        <w:rPr>
          <w:rFonts w:ascii="Times New Roman" w:hAnsi="Times New Roman" w:cs="Times New Roman"/>
        </w:rPr>
      </w:pPr>
      <w:r w:rsidRPr="00BB1E15">
        <w:rPr>
          <w:rFonts w:ascii="Times New Roman" w:hAnsi="Times New Roman" w:cs="Times New Roman"/>
          <w:b/>
        </w:rPr>
        <w:t>Основные термины и определения</w:t>
      </w:r>
    </w:p>
    <w:p w14:paraId="4379F403" w14:textId="77777777" w:rsidR="00DB1ACB" w:rsidRPr="00BB1E15" w:rsidRDefault="00DB1ACB" w:rsidP="00B62BA5">
      <w:pPr>
        <w:widowControl/>
        <w:tabs>
          <w:tab w:val="left" w:pos="426"/>
        </w:tabs>
        <w:autoSpaceDE w:val="0"/>
        <w:autoSpaceDN w:val="0"/>
        <w:adjustRightInd w:val="0"/>
        <w:jc w:val="both"/>
        <w:rPr>
          <w:rFonts w:ascii="Times New Roman" w:hAnsi="Times New Roman" w:cs="Times New Roman"/>
        </w:rPr>
      </w:pPr>
    </w:p>
    <w:p w14:paraId="3892F739" w14:textId="2A624933" w:rsidR="00DB1ACB" w:rsidRPr="00BB1E15" w:rsidRDefault="00DB1ACB">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 </w:t>
      </w:r>
      <w:r w:rsidR="00211D69" w:rsidRPr="00BB1E15">
        <w:rPr>
          <w:rFonts w:ascii="Times New Roman" w:hAnsi="Times New Roman" w:cs="Times New Roman"/>
        </w:rPr>
        <w:t xml:space="preserve">Для целей </w:t>
      </w:r>
      <w:r w:rsidR="006B5B48" w:rsidRPr="00BB1E15">
        <w:rPr>
          <w:rFonts w:ascii="Times New Roman" w:hAnsi="Times New Roman" w:cs="Times New Roman"/>
        </w:rPr>
        <w:t>настоящей Методики</w:t>
      </w:r>
      <w:r w:rsidR="00211D69" w:rsidRPr="00BB1E15">
        <w:rPr>
          <w:rFonts w:ascii="Times New Roman" w:hAnsi="Times New Roman" w:cs="Times New Roman"/>
        </w:rPr>
        <w:t xml:space="preserve"> используются следующие </w:t>
      </w:r>
      <w:r w:rsidR="006B5B48" w:rsidRPr="00BB1E15">
        <w:rPr>
          <w:rFonts w:ascii="Times New Roman" w:hAnsi="Times New Roman" w:cs="Times New Roman"/>
        </w:rPr>
        <w:t xml:space="preserve">термины и </w:t>
      </w:r>
      <w:r w:rsidR="00211D69" w:rsidRPr="00BB1E15">
        <w:rPr>
          <w:rFonts w:ascii="Times New Roman" w:hAnsi="Times New Roman" w:cs="Times New Roman"/>
        </w:rPr>
        <w:t>определения:</w:t>
      </w:r>
    </w:p>
    <w:p w14:paraId="74BA7F89" w14:textId="181DAD56" w:rsidR="002E55E4" w:rsidRPr="00BB1E15" w:rsidRDefault="002E55E4" w:rsidP="00151701">
      <w:pPr>
        <w:tabs>
          <w:tab w:val="left" w:pos="783"/>
        </w:tabs>
        <w:jc w:val="both"/>
        <w:rPr>
          <w:rFonts w:ascii="Times New Roman" w:eastAsia="Times New Roman" w:hAnsi="Times New Roman" w:cs="Times New Roman"/>
          <w:bCs/>
        </w:rPr>
      </w:pPr>
      <w:r w:rsidRPr="00BB1E15">
        <w:rPr>
          <w:rFonts w:ascii="Times New Roman" w:eastAsia="Times New Roman" w:hAnsi="Times New Roman" w:cs="Times New Roman"/>
          <w:b/>
        </w:rPr>
        <w:t>Финансовый инструмент</w:t>
      </w:r>
      <w:r w:rsidRPr="00BB1E15">
        <w:rPr>
          <w:rFonts w:ascii="Times New Roman" w:eastAsia="Times New Roman" w:hAnsi="Times New Roman" w:cs="Times New Roman"/>
          <w:bCs/>
        </w:rPr>
        <w:t xml:space="preserve"> – ценная бумага или производный финансовый инструмент, согласно п.п.22 статьи 2 Федерального закона № 39-ФЗ;</w:t>
      </w:r>
    </w:p>
    <w:p w14:paraId="31BB9864" w14:textId="70AF1BA8" w:rsidR="002E55E4" w:rsidRPr="00BB1E15" w:rsidRDefault="002E55E4" w:rsidP="00151701">
      <w:pPr>
        <w:tabs>
          <w:tab w:val="left" w:pos="783"/>
        </w:tabs>
        <w:jc w:val="both"/>
        <w:rPr>
          <w:rFonts w:ascii="Times New Roman" w:eastAsia="Times New Roman" w:hAnsi="Times New Roman" w:cs="Times New Roman"/>
          <w:bCs/>
        </w:rPr>
      </w:pPr>
      <w:r w:rsidRPr="00BB1E15">
        <w:rPr>
          <w:rFonts w:ascii="Times New Roman" w:eastAsia="Times New Roman" w:hAnsi="Times New Roman" w:cs="Times New Roman"/>
          <w:b/>
        </w:rPr>
        <w:t>Производный финансовый инструмент (далее – ПФИ)</w:t>
      </w:r>
      <w:r w:rsidRPr="00BB1E15">
        <w:rPr>
          <w:rFonts w:ascii="Times New Roman" w:eastAsia="Times New Roman" w:hAnsi="Times New Roman" w:cs="Times New Roman"/>
          <w:bCs/>
        </w:rPr>
        <w:t xml:space="preserve"> – признается договор, отвечающий требованиям Федерального закона № 39-ФЗ;</w:t>
      </w:r>
    </w:p>
    <w:p w14:paraId="79232144" w14:textId="2B062F12" w:rsidR="00DB1ACB" w:rsidRPr="00BB1E15" w:rsidRDefault="00DB1ACB" w:rsidP="00B62BA5">
      <w:pPr>
        <w:tabs>
          <w:tab w:val="left" w:pos="783"/>
        </w:tabs>
        <w:jc w:val="both"/>
        <w:rPr>
          <w:rFonts w:ascii="Times New Roman" w:eastAsia="Times New Roman" w:hAnsi="Times New Roman" w:cs="Times New Roman"/>
        </w:rPr>
      </w:pPr>
      <w:r w:rsidRPr="00BB1E15">
        <w:rPr>
          <w:rFonts w:ascii="Times New Roman" w:eastAsia="Times New Roman" w:hAnsi="Times New Roman" w:cs="Times New Roman"/>
          <w:b/>
        </w:rPr>
        <w:t xml:space="preserve">Активный рынок </w:t>
      </w:r>
      <w:r w:rsidR="00B729BF" w:rsidRPr="00BB1E15">
        <w:rPr>
          <w:rFonts w:ascii="Times New Roman" w:hAnsi="Times New Roman" w:cs="Times New Roman"/>
          <w:color w:val="auto"/>
          <w:lang w:bidi="ar-SA"/>
        </w:rPr>
        <w:t>–</w:t>
      </w:r>
      <w:r w:rsidRPr="00BB1E15">
        <w:rPr>
          <w:rFonts w:ascii="Times New Roman" w:eastAsia="Times New Roman" w:hAnsi="Times New Roman" w:cs="Times New Roman"/>
          <w:b/>
        </w:rPr>
        <w:t xml:space="preserve"> </w:t>
      </w:r>
      <w:r w:rsidRPr="00BB1E15">
        <w:rPr>
          <w:rFonts w:ascii="Times New Roman" w:eastAsia="Times New Roman" w:hAnsi="Times New Roman" w:cs="Times New Roman"/>
        </w:rPr>
        <w:t>рынок, на котором операции совершаются на регулярной основе, и информация о текущих ценах такого рынка является общедоступной.</w:t>
      </w:r>
    </w:p>
    <w:p w14:paraId="53C02C8E" w14:textId="295965E9" w:rsidR="00DB1ACB" w:rsidRPr="00BB1E15" w:rsidRDefault="00DB1ACB" w:rsidP="00B62BA5">
      <w:pPr>
        <w:widowControl/>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b/>
          <w:color w:val="auto"/>
          <w:lang w:bidi="ar-SA"/>
        </w:rPr>
        <w:t>Неактивный рынок</w:t>
      </w:r>
      <w:r w:rsidRPr="00BB1E15">
        <w:rPr>
          <w:rFonts w:ascii="Times New Roman" w:hAnsi="Times New Roman" w:cs="Times New Roman"/>
          <w:color w:val="auto"/>
          <w:lang w:bidi="ar-SA"/>
        </w:rPr>
        <w:t xml:space="preserve"> </w:t>
      </w:r>
      <w:r w:rsidR="00B729BF" w:rsidRPr="00BB1E15">
        <w:rPr>
          <w:rFonts w:ascii="Times New Roman" w:hAnsi="Times New Roman" w:cs="Times New Roman"/>
          <w:color w:val="auto"/>
          <w:lang w:bidi="ar-SA"/>
        </w:rPr>
        <w:t>–</w:t>
      </w:r>
      <w:r w:rsidRPr="00BB1E15">
        <w:rPr>
          <w:rFonts w:ascii="Times New Roman" w:hAnsi="Times New Roman" w:cs="Times New Roman"/>
          <w:color w:val="auto"/>
          <w:lang w:bidi="ar-SA"/>
        </w:rPr>
        <w:t xml:space="preserve"> рынок, характерными особенностями которого являются совершение операций на нерегулярной основе, т.е. существенное по сравнению с периодом, когда рынок признавался активным, снижение объемов и уровня активности по операциям с финансовыми инструментами, существенное увеличение разницы между ценами спроса и предложения, существенное изменение цен за короткий период времени, а также отсутствие информации о текущих ценах.</w:t>
      </w:r>
    </w:p>
    <w:p w14:paraId="0E7A315C" w14:textId="65A765F9" w:rsidR="000F5F5E" w:rsidRPr="00BB1E15" w:rsidRDefault="007F7632" w:rsidP="00B62BA5">
      <w:pPr>
        <w:widowControl/>
        <w:autoSpaceDE w:val="0"/>
        <w:autoSpaceDN w:val="0"/>
        <w:adjustRightInd w:val="0"/>
        <w:jc w:val="both"/>
        <w:rPr>
          <w:rFonts w:ascii="Times New Roman" w:eastAsia="Times New Roman" w:hAnsi="Times New Roman" w:cs="Times New Roman"/>
          <w:b/>
        </w:rPr>
      </w:pPr>
      <w:r w:rsidRPr="00BB1E15">
        <w:rPr>
          <w:rFonts w:ascii="Times New Roman" w:hAnsi="Times New Roman" w:cs="Times New Roman"/>
          <w:b/>
          <w:color w:val="auto"/>
          <w:lang w:bidi="ar-SA"/>
        </w:rPr>
        <w:t>Источники информации</w:t>
      </w:r>
      <w:r w:rsidRPr="00BB1E15">
        <w:rPr>
          <w:rFonts w:ascii="Times New Roman" w:hAnsi="Times New Roman" w:cs="Times New Roman"/>
          <w:color w:val="auto"/>
          <w:lang w:bidi="ar-SA"/>
        </w:rPr>
        <w:t xml:space="preserve"> – организаторы торговли (биржи), дилеры, брокеры, котировальные и информационные системы, регулирующие органы или иные источники, у которых оперативно и регулярно можно получать информацию </w:t>
      </w:r>
      <w:r w:rsidR="00B729BF" w:rsidRPr="00BB1E15">
        <w:rPr>
          <w:rFonts w:ascii="Times New Roman" w:hAnsi="Times New Roman" w:cs="Times New Roman"/>
          <w:color w:val="auto"/>
          <w:lang w:bidi="ar-SA"/>
        </w:rPr>
        <w:t>о котировках финансовых инструментов.</w:t>
      </w:r>
    </w:p>
    <w:p w14:paraId="00C44DDF" w14:textId="0AE6B850" w:rsidR="000F5F5E" w:rsidRPr="00BB1E15" w:rsidRDefault="000F5F5E" w:rsidP="00B62BA5">
      <w:pPr>
        <w:widowControl/>
        <w:autoSpaceDE w:val="0"/>
        <w:autoSpaceDN w:val="0"/>
        <w:adjustRightInd w:val="0"/>
        <w:jc w:val="both"/>
        <w:rPr>
          <w:rFonts w:ascii="Times New Roman" w:eastAsia="Times New Roman" w:hAnsi="Times New Roman" w:cs="Times New Roman"/>
        </w:rPr>
      </w:pPr>
      <w:r w:rsidRPr="00BB1E15">
        <w:rPr>
          <w:rFonts w:ascii="Times New Roman" w:eastAsia="Times New Roman" w:hAnsi="Times New Roman" w:cs="Times New Roman"/>
          <w:b/>
        </w:rPr>
        <w:lastRenderedPageBreak/>
        <w:t>Исходные данные</w:t>
      </w:r>
      <w:r w:rsidRPr="00BB1E15">
        <w:rPr>
          <w:rFonts w:ascii="Times New Roman" w:eastAsia="Times New Roman" w:hAnsi="Times New Roman" w:cs="Times New Roman"/>
        </w:rPr>
        <w:t xml:space="preserve"> </w:t>
      </w:r>
      <w:r w:rsidR="00B13A88" w:rsidRPr="00BB1E15">
        <w:rPr>
          <w:rFonts w:ascii="Times New Roman" w:hAnsi="Times New Roman" w:cs="Times New Roman"/>
          <w:color w:val="auto"/>
          <w:lang w:bidi="ar-SA"/>
        </w:rPr>
        <w:t>–</w:t>
      </w:r>
      <w:r w:rsidRPr="00BB1E15">
        <w:rPr>
          <w:rFonts w:ascii="Times New Roman" w:eastAsia="Times New Roman" w:hAnsi="Times New Roman" w:cs="Times New Roman"/>
        </w:rPr>
        <w:t xml:space="preserve"> допущения, которые использовались бы участниками рынка при определении цены определенного финансового инструмента, включая допущения о рисках, таких как:</w:t>
      </w:r>
    </w:p>
    <w:p w14:paraId="05EC2760" w14:textId="30A0B7DE" w:rsidR="000F5F5E" w:rsidRPr="00BB1E15" w:rsidRDefault="000F5F5E">
      <w:pPr>
        <w:pStyle w:val="a8"/>
        <w:numPr>
          <w:ilvl w:val="0"/>
          <w:numId w:val="6"/>
        </w:numPr>
        <w:tabs>
          <w:tab w:val="left" w:pos="783"/>
        </w:tabs>
        <w:jc w:val="both"/>
        <w:rPr>
          <w:rFonts w:ascii="Times New Roman" w:eastAsia="Times New Roman" w:hAnsi="Times New Roman" w:cs="Times New Roman"/>
        </w:rPr>
      </w:pPr>
      <w:r w:rsidRPr="00BB1E15">
        <w:rPr>
          <w:rFonts w:ascii="Times New Roman" w:eastAsia="Times New Roman" w:hAnsi="Times New Roman" w:cs="Times New Roman"/>
        </w:rPr>
        <w:t>риск, присущий конкретному методу оценки (например, ценовой модели), используемому для оценки справедливой стоимости; и</w:t>
      </w:r>
    </w:p>
    <w:p w14:paraId="4FAF4CAA" w14:textId="50398BD6" w:rsidR="000F5F5E" w:rsidRPr="00BB1E15" w:rsidRDefault="000F5F5E">
      <w:pPr>
        <w:pStyle w:val="a8"/>
        <w:numPr>
          <w:ilvl w:val="0"/>
          <w:numId w:val="6"/>
        </w:numPr>
        <w:tabs>
          <w:tab w:val="left" w:pos="783"/>
        </w:tabs>
        <w:jc w:val="both"/>
        <w:rPr>
          <w:rFonts w:ascii="Times New Roman" w:eastAsia="Times New Roman" w:hAnsi="Times New Roman" w:cs="Times New Roman"/>
        </w:rPr>
      </w:pPr>
      <w:r w:rsidRPr="00BB1E15">
        <w:rPr>
          <w:rFonts w:ascii="Times New Roman" w:eastAsia="Times New Roman" w:hAnsi="Times New Roman" w:cs="Times New Roman"/>
        </w:rPr>
        <w:t>риск, присущий исходным данным для данного метода оценки.</w:t>
      </w:r>
    </w:p>
    <w:p w14:paraId="131D0357" w14:textId="77777777" w:rsidR="000F5F5E" w:rsidRPr="00BB1E15" w:rsidRDefault="000F5F5E" w:rsidP="00B62BA5">
      <w:pPr>
        <w:tabs>
          <w:tab w:val="left" w:pos="783"/>
        </w:tabs>
        <w:jc w:val="both"/>
        <w:rPr>
          <w:rFonts w:ascii="Times New Roman" w:eastAsia="Times New Roman" w:hAnsi="Times New Roman" w:cs="Times New Roman"/>
        </w:rPr>
      </w:pPr>
      <w:r w:rsidRPr="00BB1E15">
        <w:rPr>
          <w:rFonts w:ascii="Times New Roman" w:eastAsia="Times New Roman" w:hAnsi="Times New Roman" w:cs="Times New Roman"/>
          <w:b/>
        </w:rPr>
        <w:t>Наблюдаемые исходные данные</w:t>
      </w:r>
      <w:r w:rsidRPr="00BB1E15">
        <w:rPr>
          <w:rFonts w:ascii="Times New Roman" w:eastAsia="Times New Roman" w:hAnsi="Times New Roman" w:cs="Times New Roman"/>
        </w:rPr>
        <w:t xml:space="preserve"> </w:t>
      </w:r>
      <w:r w:rsidR="00B13A88" w:rsidRPr="00BB1E15">
        <w:rPr>
          <w:rFonts w:ascii="Times New Roman" w:hAnsi="Times New Roman" w:cs="Times New Roman"/>
          <w:color w:val="auto"/>
          <w:lang w:bidi="ar-SA"/>
        </w:rPr>
        <w:t>–</w:t>
      </w:r>
      <w:r w:rsidRPr="00BB1E15">
        <w:rPr>
          <w:rFonts w:ascii="Times New Roman" w:eastAsia="Times New Roman" w:hAnsi="Times New Roman" w:cs="Times New Roman"/>
        </w:rPr>
        <w:t xml:space="preserve"> исходные данные, которые получены на основе рыночной информации, такой как общедоступная информация о фактических событиях или сделках, и отражают допущения, которые использовались бы участниками рынка при определении цены соответствующего финансового инструмента.</w:t>
      </w:r>
    </w:p>
    <w:p w14:paraId="5B15D235" w14:textId="77777777" w:rsidR="000F5F5E" w:rsidRPr="00BB1E15" w:rsidRDefault="000F5F5E" w:rsidP="00B62BA5">
      <w:pPr>
        <w:widowControl/>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b/>
          <w:color w:val="auto"/>
          <w:lang w:bidi="ar-SA"/>
        </w:rPr>
        <w:t>Ненаблюдаемые исходные данные</w:t>
      </w:r>
      <w:r w:rsidRPr="00BB1E15">
        <w:rPr>
          <w:rFonts w:ascii="Times New Roman" w:hAnsi="Times New Roman" w:cs="Times New Roman"/>
          <w:color w:val="auto"/>
          <w:lang w:bidi="ar-SA"/>
        </w:rPr>
        <w:t xml:space="preserve"> </w:t>
      </w:r>
      <w:r w:rsidR="00B13A88" w:rsidRPr="00BB1E15">
        <w:rPr>
          <w:rFonts w:ascii="Times New Roman" w:hAnsi="Times New Roman" w:cs="Times New Roman"/>
          <w:color w:val="auto"/>
          <w:lang w:bidi="ar-SA"/>
        </w:rPr>
        <w:t>–</w:t>
      </w:r>
      <w:r w:rsidRPr="00BB1E15">
        <w:rPr>
          <w:rFonts w:ascii="Times New Roman" w:hAnsi="Times New Roman" w:cs="Times New Roman"/>
          <w:color w:val="auto"/>
          <w:lang w:bidi="ar-SA"/>
        </w:rPr>
        <w:t xml:space="preserve"> исходные данные, для которых недоступна рыночная информация и которые получены с использованием всей доступной информации о тех допущениях, которые были бы использованы участниками рынка при определении цены на соответствующий финансовый инструмент.</w:t>
      </w:r>
    </w:p>
    <w:p w14:paraId="6F2E1E88" w14:textId="77777777" w:rsidR="00D949A7" w:rsidRPr="00BB1E15" w:rsidRDefault="00D949A7" w:rsidP="00B62BA5">
      <w:pPr>
        <w:widowControl/>
        <w:autoSpaceDE w:val="0"/>
        <w:autoSpaceDN w:val="0"/>
        <w:adjustRightInd w:val="0"/>
        <w:jc w:val="both"/>
        <w:rPr>
          <w:rFonts w:ascii="Times New Roman" w:hAnsi="Times New Roman" w:cs="Times New Roman"/>
          <w:color w:val="auto"/>
          <w:lang w:bidi="ar-SA"/>
        </w:rPr>
      </w:pPr>
      <w:r w:rsidRPr="00BB1E15">
        <w:rPr>
          <w:rStyle w:val="25"/>
          <w:rFonts w:eastAsia="Microsoft Sans Serif"/>
          <w:sz w:val="24"/>
          <w:szCs w:val="24"/>
        </w:rPr>
        <w:t xml:space="preserve">Справедливая стоимость </w:t>
      </w:r>
      <w:r w:rsidRPr="00BB1E15">
        <w:rPr>
          <w:rFonts w:ascii="Times New Roman" w:hAnsi="Times New Roman" w:cs="Times New Roman"/>
          <w:color w:val="auto"/>
          <w:lang w:bidi="ar-SA"/>
        </w:rPr>
        <w:t>–</w:t>
      </w:r>
      <w:r w:rsidRPr="00BB1E15">
        <w:rPr>
          <w:rFonts w:ascii="Times New Roman" w:hAnsi="Times New Roman" w:cs="Times New Roman"/>
        </w:rPr>
        <w:t xml:space="preserve"> </w:t>
      </w:r>
      <w:r w:rsidRPr="00BB1E15">
        <w:rPr>
          <w:rFonts w:ascii="Times New Roman" w:hAnsi="Times New Roman" w:cs="Times New Roman"/>
          <w:color w:val="auto"/>
          <w:lang w:bidi="ar-SA"/>
        </w:rPr>
        <w:t>цена, которая была бы получена при продаже финансового инструмента или уплачена при передаче обязательства в ходе обычной сделки между участниками рынка на дату оценки.</w:t>
      </w:r>
    </w:p>
    <w:p w14:paraId="57563B18" w14:textId="4AB6621D" w:rsidR="0039533B" w:rsidRPr="00BB1E15" w:rsidRDefault="00D949A7" w:rsidP="00B62BA5">
      <w:pPr>
        <w:widowControl/>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b/>
          <w:color w:val="auto"/>
          <w:lang w:bidi="ar-SA"/>
        </w:rPr>
        <w:t>Обычная сделка</w:t>
      </w:r>
      <w:r w:rsidRPr="00BB1E15">
        <w:rPr>
          <w:rFonts w:ascii="Times New Roman" w:hAnsi="Times New Roman" w:cs="Times New Roman"/>
          <w:color w:val="auto"/>
          <w:lang w:bidi="ar-SA"/>
        </w:rPr>
        <w:t xml:space="preserve"> – сделка, предполагающая присутствие финансового инструмента на рынке на протяжении некоторого времени до даты оценки, достаточного для осуществления маркетинговых действий, обычных и принятых на данном рынке для сделок в отношении таких финансовых инструментов; эта сделка не является вынужденной (например, принудительной ликвидацией или вынужденной продажей).</w:t>
      </w:r>
    </w:p>
    <w:p w14:paraId="2225F2F1" w14:textId="77777777" w:rsidR="0039533B" w:rsidRPr="00BB1E15" w:rsidRDefault="0039533B" w:rsidP="00B62BA5">
      <w:pPr>
        <w:widowControl/>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b/>
          <w:color w:val="auto"/>
          <w:lang w:bidi="ar-SA"/>
        </w:rPr>
        <w:t>Участники рынка</w:t>
      </w:r>
      <w:r w:rsidRPr="00BB1E15">
        <w:rPr>
          <w:rFonts w:ascii="Times New Roman" w:hAnsi="Times New Roman" w:cs="Times New Roman"/>
          <w:color w:val="auto"/>
          <w:lang w:bidi="ar-SA"/>
        </w:rPr>
        <w:t xml:space="preserve"> – покупатели и продавцы на основном (или наиболее выгодном) рынке в отношении финансового инструмента, обладающие всеми следующими характеристиками: </w:t>
      </w:r>
    </w:p>
    <w:p w14:paraId="24E5DE9F" w14:textId="2E8B9454" w:rsidR="00596A73" w:rsidRPr="00BB1E15" w:rsidRDefault="0039533B">
      <w:pPr>
        <w:pStyle w:val="a8"/>
        <w:widowControl/>
        <w:numPr>
          <w:ilvl w:val="0"/>
          <w:numId w:val="5"/>
        </w:numPr>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color w:val="auto"/>
          <w:lang w:bidi="ar-SA"/>
        </w:rPr>
        <w:t>они независимы друг от друга, то есть они не являются связанными сторонами в том значении, которое определено в Международном стандарт</w:t>
      </w:r>
      <w:r w:rsidR="00740C53" w:rsidRPr="00BB1E15">
        <w:rPr>
          <w:rFonts w:ascii="Times New Roman" w:hAnsi="Times New Roman" w:cs="Times New Roman"/>
          <w:color w:val="auto"/>
          <w:lang w:bidi="ar-SA"/>
        </w:rPr>
        <w:t>е</w:t>
      </w:r>
      <w:r w:rsidRPr="00BB1E15">
        <w:rPr>
          <w:rFonts w:ascii="Times New Roman" w:hAnsi="Times New Roman" w:cs="Times New Roman"/>
          <w:color w:val="auto"/>
          <w:lang w:bidi="ar-SA"/>
        </w:rPr>
        <w:t xml:space="preserve"> финансовой отчетности (IAS) 24 </w:t>
      </w:r>
      <w:r w:rsidR="00596A73" w:rsidRPr="00BB1E15">
        <w:rPr>
          <w:rFonts w:ascii="Times New Roman" w:hAnsi="Times New Roman" w:cs="Times New Roman"/>
          <w:color w:val="auto"/>
          <w:lang w:bidi="ar-SA"/>
        </w:rPr>
        <w:t>«</w:t>
      </w:r>
      <w:r w:rsidRPr="00BB1E15">
        <w:rPr>
          <w:rFonts w:ascii="Times New Roman" w:hAnsi="Times New Roman" w:cs="Times New Roman"/>
          <w:color w:val="auto"/>
          <w:lang w:bidi="ar-SA"/>
        </w:rPr>
        <w:t xml:space="preserve">Раскрытие </w:t>
      </w:r>
      <w:r w:rsidR="00403BAA" w:rsidRPr="00BB1E15">
        <w:rPr>
          <w:rFonts w:ascii="Times New Roman" w:hAnsi="Times New Roman" w:cs="Times New Roman"/>
          <w:color w:val="auto"/>
          <w:lang w:bidi="ar-SA"/>
        </w:rPr>
        <w:t>информации о связанных сторонах»</w:t>
      </w:r>
      <w:r w:rsidRPr="00BB1E15">
        <w:rPr>
          <w:rFonts w:ascii="Times New Roman" w:hAnsi="Times New Roman" w:cs="Times New Roman"/>
          <w:color w:val="auto"/>
          <w:lang w:bidi="ar-SA"/>
        </w:rPr>
        <w:t xml:space="preserve"> (введен в действие на территории Российской Федерации Приказо</w:t>
      </w:r>
      <w:r w:rsidR="00414903" w:rsidRPr="00BB1E15">
        <w:rPr>
          <w:rFonts w:ascii="Times New Roman" w:hAnsi="Times New Roman" w:cs="Times New Roman"/>
          <w:color w:val="auto"/>
          <w:lang w:bidi="ar-SA"/>
        </w:rPr>
        <w:t>м Минфина России от 28.12.2015 №</w:t>
      </w:r>
      <w:r w:rsidRPr="00BB1E15">
        <w:rPr>
          <w:rFonts w:ascii="Times New Roman" w:hAnsi="Times New Roman" w:cs="Times New Roman"/>
          <w:color w:val="auto"/>
          <w:lang w:bidi="ar-SA"/>
        </w:rPr>
        <w:t xml:space="preserve"> 217н), но при этом цена сделки между связанными сторонами может использоваться в качестве одного из исходных параметров при оценке справедливой стоимости, если у </w:t>
      </w:r>
      <w:r w:rsidR="00596A73" w:rsidRPr="00BB1E15">
        <w:rPr>
          <w:rFonts w:ascii="Times New Roman" w:hAnsi="Times New Roman" w:cs="Times New Roman"/>
          <w:color w:val="auto"/>
          <w:lang w:bidi="ar-SA"/>
        </w:rPr>
        <w:t>Банка</w:t>
      </w:r>
      <w:r w:rsidRPr="00BB1E15">
        <w:rPr>
          <w:rFonts w:ascii="Times New Roman" w:hAnsi="Times New Roman" w:cs="Times New Roman"/>
          <w:color w:val="auto"/>
          <w:lang w:bidi="ar-SA"/>
        </w:rPr>
        <w:t xml:space="preserve"> имеются свидетельства того, что эта сделка была осуществлена на рыночных условиях</w:t>
      </w:r>
      <w:r w:rsidR="00596A73" w:rsidRPr="00BB1E15">
        <w:rPr>
          <w:rFonts w:ascii="Times New Roman" w:hAnsi="Times New Roman" w:cs="Times New Roman"/>
          <w:color w:val="auto"/>
          <w:lang w:bidi="ar-SA"/>
        </w:rPr>
        <w:t xml:space="preserve"> </w:t>
      </w:r>
      <w:r w:rsidR="00596A73" w:rsidRPr="00BB1E15">
        <w:rPr>
          <w:rFonts w:ascii="Times New Roman" w:hAnsi="Times New Roman" w:cs="Times New Roman"/>
        </w:rPr>
        <w:t>(оформляется Управлением контроля рисков мотивированным суждением)</w:t>
      </w:r>
      <w:r w:rsidR="00596A73" w:rsidRPr="00BB1E15">
        <w:rPr>
          <w:rFonts w:ascii="Times New Roman" w:hAnsi="Times New Roman" w:cs="Times New Roman"/>
          <w:color w:val="auto"/>
          <w:lang w:bidi="ar-SA"/>
        </w:rPr>
        <w:t xml:space="preserve">; </w:t>
      </w:r>
    </w:p>
    <w:p w14:paraId="219A2FCA" w14:textId="51DED66A" w:rsidR="00596A73" w:rsidRPr="00BB1E15" w:rsidRDefault="00596A73">
      <w:pPr>
        <w:pStyle w:val="a8"/>
        <w:widowControl/>
        <w:numPr>
          <w:ilvl w:val="0"/>
          <w:numId w:val="5"/>
        </w:numPr>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color w:val="auto"/>
          <w:lang w:bidi="ar-SA"/>
        </w:rPr>
        <w:t>они хорошо осведомлены, имеют достаточное представление о соответствующем финансовом инструменте и о сделке, сформированное с учетом всей имеющейся информации, в том числе той, которую возможно получить в результате проведения стандартных и общепринятых процедур предынвестиционной проверки;</w:t>
      </w:r>
    </w:p>
    <w:p w14:paraId="33280A70" w14:textId="025DDD6B" w:rsidR="00596A73" w:rsidRPr="00BB1E15" w:rsidRDefault="00596A73">
      <w:pPr>
        <w:pStyle w:val="a8"/>
        <w:widowControl/>
        <w:numPr>
          <w:ilvl w:val="0"/>
          <w:numId w:val="5"/>
        </w:numPr>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color w:val="auto"/>
          <w:lang w:bidi="ar-SA"/>
        </w:rPr>
        <w:t>они имеют возможность заключить сделку в отношении данного финансового инструмента;</w:t>
      </w:r>
    </w:p>
    <w:p w14:paraId="22252B0E" w14:textId="4395D5C6" w:rsidR="00D949A7" w:rsidRPr="00BB1E15" w:rsidRDefault="00596A73">
      <w:pPr>
        <w:pStyle w:val="a8"/>
        <w:widowControl/>
        <w:numPr>
          <w:ilvl w:val="0"/>
          <w:numId w:val="5"/>
        </w:numPr>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color w:val="auto"/>
          <w:lang w:bidi="ar-SA"/>
        </w:rPr>
        <w:t>они имеют желание заключить сделку в отношении данного финансового инструмента, то есть они имеют побудительный мотив для осуществления такой сделки, не будучи принуждаемыми или иным образом вынужденными сделать это.</w:t>
      </w:r>
    </w:p>
    <w:p w14:paraId="06F16CB0" w14:textId="0B1853B8" w:rsidR="0039533B" w:rsidRPr="00BB1E15" w:rsidRDefault="0039533B" w:rsidP="00B62BA5">
      <w:pPr>
        <w:widowControl/>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b/>
        </w:rPr>
        <w:t>Основной рынок</w:t>
      </w:r>
      <w:r w:rsidRPr="00BB1E15">
        <w:rPr>
          <w:rFonts w:ascii="Times New Roman" w:hAnsi="Times New Roman" w:cs="Times New Roman"/>
        </w:rPr>
        <w:t xml:space="preserve"> </w:t>
      </w:r>
      <w:r w:rsidRPr="00BB1E15">
        <w:rPr>
          <w:rFonts w:ascii="Times New Roman" w:hAnsi="Times New Roman" w:cs="Times New Roman"/>
          <w:color w:val="auto"/>
          <w:lang w:bidi="ar-SA"/>
        </w:rPr>
        <w:t>– рынок с наибольшим для соответствующего финансового инструмента объемом торгов и уровнем активности.</w:t>
      </w:r>
    </w:p>
    <w:p w14:paraId="4005C4AB" w14:textId="63CBB1BC" w:rsidR="00D06E91" w:rsidRPr="00BB1E15" w:rsidRDefault="00D06E91" w:rsidP="001517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Настоящая Методика распространяется на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w:t>
      </w:r>
      <w:r w:rsidR="006823B7" w:rsidRPr="00BB1E15">
        <w:rPr>
          <w:rFonts w:ascii="Times New Roman" w:hAnsi="Times New Roman" w:cs="Times New Roman"/>
        </w:rPr>
        <w:t xml:space="preserve">, а также </w:t>
      </w:r>
      <w:r w:rsidRPr="00BB1E15">
        <w:rPr>
          <w:rFonts w:ascii="Times New Roman" w:hAnsi="Times New Roman" w:cs="Times New Roman"/>
        </w:rPr>
        <w:t xml:space="preserve">на договоры, определяемые производными инструментами в соответствии с </w:t>
      </w:r>
      <w:hyperlink r:id="rId9" w:history="1">
        <w:r w:rsidRPr="00BB1E15">
          <w:rPr>
            <w:rFonts w:ascii="Times New Roman" w:hAnsi="Times New Roman" w:cs="Times New Roman"/>
          </w:rPr>
          <w:t>Приложением А</w:t>
        </w:r>
      </w:hyperlink>
      <w:r w:rsidRPr="00BB1E15">
        <w:rPr>
          <w:rFonts w:ascii="Times New Roman" w:hAnsi="Times New Roman" w:cs="Times New Roman"/>
        </w:rPr>
        <w:t xml:space="preserve"> Международного стандарта финансовой отчетности (IFRS) 9 «Финансовые инструменты».</w:t>
      </w:r>
    </w:p>
    <w:p w14:paraId="3856A3B2" w14:textId="77777777" w:rsidR="00D06E91" w:rsidRPr="00BB1E15" w:rsidRDefault="00D06E9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 российском правовом поле действуют следующие виды ПФИ:</w:t>
      </w:r>
    </w:p>
    <w:p w14:paraId="6ED2B9C1"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опционные договоры (поставочные и расчетные);</w:t>
      </w:r>
    </w:p>
    <w:p w14:paraId="252D1601"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фьючерсные договоры (поставочные и расчетные);</w:t>
      </w:r>
    </w:p>
    <w:p w14:paraId="4DB1E5A0"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форвардные договоры (поставочные и расчетные);</w:t>
      </w:r>
    </w:p>
    <w:p w14:paraId="3CC30CFB"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СВОП - договоры (поставочные и расчетные).</w:t>
      </w:r>
    </w:p>
    <w:p w14:paraId="21D5DB91" w14:textId="77777777" w:rsidR="00D06E91" w:rsidRPr="00BB1E15" w:rsidRDefault="00D06E9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Сделка в нероссийском правовом поле признается ПФИ, если выполняются следующие условия:</w:t>
      </w:r>
    </w:p>
    <w:p w14:paraId="2455101C"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сделка проводится в соответствии с правом иностранного государства, нормами международного договора или обычаями делового оборота;</w:t>
      </w:r>
    </w:p>
    <w:p w14:paraId="6E57D21E"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lastRenderedPageBreak/>
        <w:t>– к данной сделке должна быть предусмотрена судебная защита по законодательству иностранного государства или международному договору между сторонами.</w:t>
      </w:r>
    </w:p>
    <w:p w14:paraId="3A24C1D5" w14:textId="5FC245FC" w:rsidR="00D06E91" w:rsidRPr="00BB1E15" w:rsidRDefault="00D9395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Согласно методическим рекомендациям, отраженных в Письме Банка России №186-Т, справедливой стоимостью финансового инструмента признается сумма, на которую можно обменять актив или урегулировать обязательство при совершении сделки между хорошо осведомленными, желающими совершить такую сделку и независимыми друг от друга сторонами, для операций, проводимых в ходе обычной деятельности (исключая принудительные/вынужденные операции).</w:t>
      </w:r>
    </w:p>
    <w:p w14:paraId="2F2CE8D0" w14:textId="77777777" w:rsidR="00D06E91" w:rsidRPr="00BB1E15" w:rsidRDefault="00D06E9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Оценка справедливой стоимости предполагает, что обмен актива или обязательства происходит в ходе обычной сделки между участниками рынка с целью продажи актива или передачи обязательства на дату оценки в текущих рыночных условиях.</w:t>
      </w:r>
    </w:p>
    <w:p w14:paraId="68EC44A2" w14:textId="77777777" w:rsidR="00D06E91" w:rsidRPr="00BB1E15" w:rsidRDefault="00D06E9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Важнейшими элементами определения справедливой стоимости являются:</w:t>
      </w:r>
    </w:p>
    <w:p w14:paraId="4B11E938"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eastAsia="CIDFont+F4" w:hAnsi="Times New Roman" w:cs="Times New Roman"/>
        </w:rPr>
        <w:t>– </w:t>
      </w:r>
      <w:r w:rsidRPr="00BB1E15">
        <w:rPr>
          <w:rFonts w:ascii="Times New Roman" w:hAnsi="Times New Roman" w:cs="Times New Roman"/>
        </w:rPr>
        <w:t>критерии активности рынка;</w:t>
      </w:r>
    </w:p>
    <w:p w14:paraId="092CF88A"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eastAsia="CIDFont+F4" w:hAnsi="Times New Roman" w:cs="Times New Roman"/>
        </w:rPr>
        <w:t>– </w:t>
      </w:r>
      <w:r w:rsidRPr="00BB1E15">
        <w:rPr>
          <w:rFonts w:ascii="Times New Roman" w:hAnsi="Times New Roman" w:cs="Times New Roman"/>
        </w:rPr>
        <w:t>исходные данные;</w:t>
      </w:r>
    </w:p>
    <w:p w14:paraId="1D478EE4"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eastAsia="CIDFont+F4" w:hAnsi="Times New Roman" w:cs="Times New Roman"/>
        </w:rPr>
        <w:t>– </w:t>
      </w:r>
      <w:r w:rsidRPr="00BB1E15">
        <w:rPr>
          <w:rFonts w:ascii="Times New Roman" w:hAnsi="Times New Roman" w:cs="Times New Roman"/>
        </w:rPr>
        <w:t>методы определения справедливой стоимости;</w:t>
      </w:r>
    </w:p>
    <w:p w14:paraId="5D41829D"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eastAsia="CIDFont+F4" w:hAnsi="Times New Roman" w:cs="Times New Roman"/>
        </w:rPr>
        <w:t>– </w:t>
      </w:r>
      <w:r w:rsidRPr="00BB1E15">
        <w:rPr>
          <w:rFonts w:ascii="Times New Roman" w:hAnsi="Times New Roman" w:cs="Times New Roman"/>
        </w:rPr>
        <w:t>иерархия справедливой стоимости в зависимости от используемых исходных данных и методов определения справедливой стоимости;</w:t>
      </w:r>
    </w:p>
    <w:p w14:paraId="353CAD4F"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eastAsia="CIDFont+F4" w:hAnsi="Times New Roman" w:cs="Times New Roman"/>
        </w:rPr>
        <w:t>– </w:t>
      </w:r>
      <w:r w:rsidRPr="00BB1E15">
        <w:rPr>
          <w:rFonts w:ascii="Times New Roman" w:hAnsi="Times New Roman" w:cs="Times New Roman"/>
        </w:rPr>
        <w:t>внесение корректировок в справедливую стоимость в зависимости от используемых исходных данных.</w:t>
      </w:r>
    </w:p>
    <w:p w14:paraId="73D1753B" w14:textId="77777777" w:rsidR="00D06E91" w:rsidRPr="00BB1E15" w:rsidRDefault="00D06E9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Сделка с целью продажи актива или передачи обязательства осуществляется:</w:t>
      </w:r>
    </w:p>
    <w:p w14:paraId="458B47DA" w14:textId="77777777" w:rsidR="00D06E91" w:rsidRPr="00BB1E15" w:rsidRDefault="00D06E91" w:rsidP="00B62BA5">
      <w:pPr>
        <w:autoSpaceDE w:val="0"/>
        <w:autoSpaceDN w:val="0"/>
        <w:adjustRightInd w:val="0"/>
        <w:jc w:val="both"/>
        <w:rPr>
          <w:rFonts w:ascii="Times New Roman" w:eastAsia="CIDFont+F4" w:hAnsi="Times New Roman" w:cs="Times New Roman"/>
        </w:rPr>
      </w:pPr>
      <w:r w:rsidRPr="00BB1E15">
        <w:rPr>
          <w:rFonts w:ascii="Times New Roman" w:eastAsia="CIDFont+F4" w:hAnsi="Times New Roman" w:cs="Times New Roman"/>
        </w:rPr>
        <w:t>– на рынке, который является основным для данного актива или обязательства в случае, если у Банка есть на него доступ;</w:t>
      </w:r>
    </w:p>
    <w:p w14:paraId="0B5053EF" w14:textId="77777777" w:rsidR="00D06E91" w:rsidRPr="00BB1E15" w:rsidRDefault="00D06E91" w:rsidP="00B62BA5">
      <w:pPr>
        <w:autoSpaceDE w:val="0"/>
        <w:autoSpaceDN w:val="0"/>
        <w:adjustRightInd w:val="0"/>
        <w:jc w:val="both"/>
        <w:rPr>
          <w:rFonts w:ascii="Times New Roman" w:eastAsia="CIDFont+F4" w:hAnsi="Times New Roman" w:cs="Times New Roman"/>
        </w:rPr>
      </w:pPr>
      <w:r w:rsidRPr="00BB1E15">
        <w:rPr>
          <w:rFonts w:ascii="Times New Roman" w:eastAsia="CIDFont+F4" w:hAnsi="Times New Roman" w:cs="Times New Roman"/>
        </w:rPr>
        <w:t>– при отсутствии основного рынка, на рынке, наиболее выгодном в отношении данного актива или обязательства.</w:t>
      </w:r>
    </w:p>
    <w:p w14:paraId="23B0B438" w14:textId="77777777" w:rsidR="00D06E91" w:rsidRPr="00BB1E15" w:rsidRDefault="00D06E9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Основным рынком для определения справедливой стоимости ценных бумаг является ПАО Московская Биржа.</w:t>
      </w:r>
    </w:p>
    <w:p w14:paraId="4CFE8B41" w14:textId="54843CDB" w:rsidR="00D06E91" w:rsidRPr="00BB1E15" w:rsidRDefault="00D06E91" w:rsidP="001905E4">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Основным рынком для биржевых ПФИ является та биржа, на которой была открыта позиция в данных ПФИ.</w:t>
      </w:r>
    </w:p>
    <w:p w14:paraId="701F7D17" w14:textId="15D4D98E" w:rsidR="00974B8E" w:rsidRPr="00BB1E15" w:rsidRDefault="00974B8E" w:rsidP="001905E4">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В соответствии с решением Совета директоров Банка России </w:t>
      </w:r>
      <w:r w:rsidR="00A8101C" w:rsidRPr="00BB1E15">
        <w:rPr>
          <w:rFonts w:ascii="Times New Roman" w:hAnsi="Times New Roman" w:cs="Times New Roman"/>
        </w:rPr>
        <w:t xml:space="preserve">от 23.12.2022 </w:t>
      </w:r>
      <w:r w:rsidR="00857B7A" w:rsidRPr="00BB1E15">
        <w:rPr>
          <w:rFonts w:ascii="Times New Roman" w:hAnsi="Times New Roman" w:cs="Times New Roman"/>
        </w:rPr>
        <w:t>«</w:t>
      </w:r>
      <w:r w:rsidR="00A8101C" w:rsidRPr="00BB1E15">
        <w:rPr>
          <w:rFonts w:ascii="Times New Roman" w:hAnsi="Times New Roman" w:cs="Times New Roman"/>
          <w:color w:val="111214"/>
        </w:rPr>
        <w:t>О</w:t>
      </w:r>
      <w:r w:rsidR="00857B7A" w:rsidRPr="00BB1E15">
        <w:rPr>
          <w:rFonts w:ascii="Times New Roman" w:hAnsi="Times New Roman" w:cs="Times New Roman"/>
          <w:color w:val="111214"/>
        </w:rPr>
        <w:t>б</w:t>
      </w:r>
      <w:r w:rsidR="00A8101C" w:rsidRPr="00BB1E15">
        <w:rPr>
          <w:rFonts w:ascii="Times New Roman" w:hAnsi="Times New Roman" w:cs="Times New Roman"/>
          <w:color w:val="111214"/>
        </w:rPr>
        <w:t xml:space="preserve"> </w:t>
      </w:r>
      <w:r w:rsidR="00857B7A" w:rsidRPr="00BB1E15">
        <w:rPr>
          <w:rFonts w:ascii="Times New Roman" w:hAnsi="Times New Roman" w:cs="Times New Roman"/>
          <w:color w:val="111214"/>
        </w:rPr>
        <w:t>использовании сведений информационных сервисов в</w:t>
      </w:r>
      <w:r w:rsidR="00013224" w:rsidRPr="00BB1E15">
        <w:rPr>
          <w:rFonts w:ascii="Times New Roman" w:hAnsi="Times New Roman" w:cs="Times New Roman"/>
          <w:color w:val="111214"/>
        </w:rPr>
        <w:t xml:space="preserve"> </w:t>
      </w:r>
      <w:r w:rsidR="00857B7A" w:rsidRPr="00BB1E15">
        <w:rPr>
          <w:rFonts w:ascii="Times New Roman" w:hAnsi="Times New Roman" w:cs="Times New Roman"/>
          <w:color w:val="111214"/>
        </w:rPr>
        <w:t>целях исполнения требований нормативных актов Банка России и</w:t>
      </w:r>
      <w:r w:rsidR="00013224" w:rsidRPr="00BB1E15">
        <w:rPr>
          <w:rFonts w:ascii="Times New Roman" w:hAnsi="Times New Roman" w:cs="Times New Roman"/>
          <w:color w:val="111214"/>
        </w:rPr>
        <w:t xml:space="preserve"> </w:t>
      </w:r>
      <w:r w:rsidR="00857B7A" w:rsidRPr="00BB1E15">
        <w:rPr>
          <w:rFonts w:ascii="Times New Roman" w:hAnsi="Times New Roman" w:cs="Times New Roman"/>
          <w:color w:val="111214"/>
        </w:rPr>
        <w:t>нормативных правовых актов ФСФР России</w:t>
      </w:r>
      <w:r w:rsidR="00857B7A" w:rsidRPr="00BB1E15">
        <w:rPr>
          <w:rFonts w:ascii="Times New Roman" w:hAnsi="Times New Roman" w:cs="Times New Roman"/>
        </w:rPr>
        <w:t>»</w:t>
      </w:r>
      <w:r w:rsidR="00013224" w:rsidRPr="00BB1E15">
        <w:rPr>
          <w:rFonts w:ascii="Times New Roman" w:hAnsi="Times New Roman" w:cs="Times New Roman"/>
        </w:rPr>
        <w:t xml:space="preserve"> </w:t>
      </w:r>
      <w:r w:rsidR="008C6DF8" w:rsidRPr="00BB1E15">
        <w:rPr>
          <w:rFonts w:ascii="Times New Roman" w:hAnsi="Times New Roman" w:cs="Times New Roman"/>
        </w:rPr>
        <w:t>Банк использует</w:t>
      </w:r>
      <w:r w:rsidRPr="00BB1E15">
        <w:rPr>
          <w:rFonts w:ascii="Times New Roman" w:hAnsi="Times New Roman" w:cs="Times New Roman"/>
        </w:rPr>
        <w:t xml:space="preserve"> сведен</w:t>
      </w:r>
      <w:r w:rsidR="008C6DF8" w:rsidRPr="00BB1E15">
        <w:rPr>
          <w:rFonts w:ascii="Times New Roman" w:hAnsi="Times New Roman" w:cs="Times New Roman"/>
        </w:rPr>
        <w:t>ия</w:t>
      </w:r>
      <w:r w:rsidRPr="00BB1E15">
        <w:rPr>
          <w:rFonts w:ascii="Times New Roman" w:hAnsi="Times New Roman" w:cs="Times New Roman"/>
        </w:rPr>
        <w:t>, предоставленные НКО</w:t>
      </w:r>
      <w:r w:rsidR="00CB7062" w:rsidRPr="00BB1E15">
        <w:rPr>
          <w:rFonts w:ascii="Times New Roman" w:hAnsi="Times New Roman" w:cs="Times New Roman"/>
        </w:rPr>
        <w:t xml:space="preserve"> </w:t>
      </w:r>
      <w:r w:rsidRPr="00BB1E15">
        <w:rPr>
          <w:rFonts w:ascii="Times New Roman" w:hAnsi="Times New Roman" w:cs="Times New Roman"/>
        </w:rPr>
        <w:t>АО</w:t>
      </w:r>
      <w:r w:rsidR="00CB7062" w:rsidRPr="00BB1E15">
        <w:rPr>
          <w:rFonts w:ascii="Times New Roman" w:hAnsi="Times New Roman" w:cs="Times New Roman"/>
        </w:rPr>
        <w:t xml:space="preserve"> </w:t>
      </w:r>
      <w:r w:rsidRPr="00BB1E15">
        <w:rPr>
          <w:rFonts w:ascii="Times New Roman" w:hAnsi="Times New Roman" w:cs="Times New Roman"/>
        </w:rPr>
        <w:t>НРД, АО</w:t>
      </w:r>
      <w:r w:rsidR="00CB7062" w:rsidRPr="00BB1E15">
        <w:rPr>
          <w:rFonts w:ascii="Times New Roman" w:hAnsi="Times New Roman" w:cs="Times New Roman"/>
        </w:rPr>
        <w:t xml:space="preserve"> </w:t>
      </w:r>
      <w:r w:rsidRPr="00BB1E15">
        <w:rPr>
          <w:rFonts w:ascii="Times New Roman" w:hAnsi="Times New Roman" w:cs="Times New Roman"/>
        </w:rPr>
        <w:t>«Интерфакс», ООО</w:t>
      </w:r>
      <w:r w:rsidR="00CB7062" w:rsidRPr="00BB1E15">
        <w:rPr>
          <w:rFonts w:ascii="Times New Roman" w:hAnsi="Times New Roman" w:cs="Times New Roman"/>
        </w:rPr>
        <w:t xml:space="preserve"> </w:t>
      </w:r>
      <w:r w:rsidRPr="00BB1E15">
        <w:rPr>
          <w:rFonts w:ascii="Times New Roman" w:hAnsi="Times New Roman" w:cs="Times New Roman"/>
        </w:rPr>
        <w:t>«Сбондс.ру», а</w:t>
      </w:r>
      <w:r w:rsidR="00CB7062" w:rsidRPr="00BB1E15">
        <w:rPr>
          <w:rFonts w:ascii="Times New Roman" w:hAnsi="Times New Roman" w:cs="Times New Roman"/>
        </w:rPr>
        <w:t xml:space="preserve"> </w:t>
      </w:r>
      <w:r w:rsidRPr="00BB1E15">
        <w:rPr>
          <w:rFonts w:ascii="Times New Roman" w:hAnsi="Times New Roman" w:cs="Times New Roman"/>
        </w:rPr>
        <w:t>при</w:t>
      </w:r>
      <w:r w:rsidR="00CB7062" w:rsidRPr="00BB1E15">
        <w:rPr>
          <w:rFonts w:ascii="Times New Roman" w:hAnsi="Times New Roman" w:cs="Times New Roman"/>
        </w:rPr>
        <w:t xml:space="preserve"> </w:t>
      </w:r>
      <w:r w:rsidRPr="00BB1E15">
        <w:rPr>
          <w:rFonts w:ascii="Times New Roman" w:hAnsi="Times New Roman" w:cs="Times New Roman"/>
        </w:rPr>
        <w:t>отсутствии необходимых сведений у</w:t>
      </w:r>
      <w:r w:rsidR="00CB7062" w:rsidRPr="00BB1E15">
        <w:rPr>
          <w:rFonts w:ascii="Times New Roman" w:hAnsi="Times New Roman" w:cs="Times New Roman"/>
        </w:rPr>
        <w:t xml:space="preserve"> </w:t>
      </w:r>
      <w:r w:rsidRPr="00BB1E15">
        <w:rPr>
          <w:rFonts w:ascii="Times New Roman" w:hAnsi="Times New Roman" w:cs="Times New Roman"/>
        </w:rPr>
        <w:t>НКО</w:t>
      </w:r>
      <w:r w:rsidR="00CB7062" w:rsidRPr="00BB1E15">
        <w:rPr>
          <w:rFonts w:ascii="Times New Roman" w:hAnsi="Times New Roman" w:cs="Times New Roman"/>
        </w:rPr>
        <w:t xml:space="preserve"> </w:t>
      </w:r>
      <w:r w:rsidRPr="00BB1E15">
        <w:rPr>
          <w:rFonts w:ascii="Times New Roman" w:hAnsi="Times New Roman" w:cs="Times New Roman"/>
        </w:rPr>
        <w:t>АО</w:t>
      </w:r>
      <w:r w:rsidR="00CB7062" w:rsidRPr="00BB1E15">
        <w:rPr>
          <w:rFonts w:ascii="Times New Roman" w:hAnsi="Times New Roman" w:cs="Times New Roman"/>
        </w:rPr>
        <w:t xml:space="preserve"> </w:t>
      </w:r>
      <w:r w:rsidRPr="00BB1E15">
        <w:rPr>
          <w:rFonts w:ascii="Times New Roman" w:hAnsi="Times New Roman" w:cs="Times New Roman"/>
        </w:rPr>
        <w:t>НРД, АО</w:t>
      </w:r>
      <w:r w:rsidR="00CB7062" w:rsidRPr="00BB1E15">
        <w:rPr>
          <w:rFonts w:ascii="Times New Roman" w:hAnsi="Times New Roman" w:cs="Times New Roman"/>
        </w:rPr>
        <w:t xml:space="preserve"> </w:t>
      </w:r>
      <w:r w:rsidRPr="00BB1E15">
        <w:rPr>
          <w:rFonts w:ascii="Times New Roman" w:hAnsi="Times New Roman" w:cs="Times New Roman"/>
        </w:rPr>
        <w:t>«Интерфакс», ООО</w:t>
      </w:r>
      <w:r w:rsidR="00CB7062" w:rsidRPr="00BB1E15">
        <w:rPr>
          <w:rFonts w:ascii="Times New Roman" w:hAnsi="Times New Roman" w:cs="Times New Roman"/>
        </w:rPr>
        <w:t xml:space="preserve"> </w:t>
      </w:r>
      <w:r w:rsidRPr="00BB1E15">
        <w:rPr>
          <w:rFonts w:ascii="Times New Roman" w:hAnsi="Times New Roman" w:cs="Times New Roman"/>
        </w:rPr>
        <w:t>«Сбондс.ру»</w:t>
      </w:r>
      <w:r w:rsidR="00CB7062" w:rsidRPr="00BB1E15">
        <w:rPr>
          <w:rFonts w:ascii="Times New Roman" w:hAnsi="Times New Roman" w:cs="Times New Roman"/>
        </w:rPr>
        <w:t xml:space="preserve"> </w:t>
      </w:r>
      <w:r w:rsidR="00435277" w:rsidRPr="00BB1E15">
        <w:rPr>
          <w:rFonts w:ascii="Times New Roman" w:hAnsi="Times New Roman" w:cs="Times New Roman"/>
        </w:rPr>
        <w:t>–</w:t>
      </w:r>
      <w:r w:rsidR="00CB7062" w:rsidRPr="00BB1E15">
        <w:rPr>
          <w:rFonts w:ascii="Times New Roman" w:hAnsi="Times New Roman" w:cs="Times New Roman"/>
        </w:rPr>
        <w:t xml:space="preserve"> </w:t>
      </w:r>
      <w:r w:rsidRPr="00BB1E15">
        <w:rPr>
          <w:rFonts w:ascii="Times New Roman" w:hAnsi="Times New Roman" w:cs="Times New Roman"/>
        </w:rPr>
        <w:t>сведения, предоставленные иными организациями, на</w:t>
      </w:r>
      <w:r w:rsidR="00435277" w:rsidRPr="00BB1E15">
        <w:rPr>
          <w:rFonts w:ascii="Times New Roman" w:hAnsi="Times New Roman" w:cs="Times New Roman"/>
        </w:rPr>
        <w:t xml:space="preserve"> </w:t>
      </w:r>
      <w:r w:rsidRPr="00BB1E15">
        <w:rPr>
          <w:rFonts w:ascii="Times New Roman" w:hAnsi="Times New Roman" w:cs="Times New Roman"/>
        </w:rPr>
        <w:t>основании мотивированного решения</w:t>
      </w:r>
      <w:r w:rsidR="00C90206" w:rsidRPr="00BB1E15">
        <w:rPr>
          <w:rFonts w:ascii="Times New Roman" w:hAnsi="Times New Roman" w:cs="Times New Roman"/>
        </w:rPr>
        <w:t xml:space="preserve"> Банка</w:t>
      </w:r>
      <w:r w:rsidRPr="00BB1E15">
        <w:rPr>
          <w:rFonts w:ascii="Times New Roman" w:hAnsi="Times New Roman" w:cs="Times New Roman"/>
        </w:rPr>
        <w:t>.</w:t>
      </w:r>
    </w:p>
    <w:p w14:paraId="5C311E52" w14:textId="77777777" w:rsidR="00D06E91" w:rsidRPr="00BB1E15" w:rsidRDefault="00D06E91" w:rsidP="001905E4">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Исходные данные в иерархии справедливой стоимости разделены на три уровня:</w:t>
      </w:r>
    </w:p>
    <w:p w14:paraId="6365043B"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Уровень 1 – текущие, не требующие корректировок цены (котировки) активного рынка по активам или обязательствам, идентичным (одинаковым) с оцениваемым активом или обязательством, к которым Банк может получить доступ на дату оценки;</w:t>
      </w:r>
    </w:p>
    <w:p w14:paraId="35604079"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Уровень 2 – в случае отсутствия информации о текущих, не требующих корректировок ценах (котировках), – цены (котировки) активного рынка по аналогичным (сопоставимым) активам или обязательствам, цены (котировки) рынков, которые не являются активными, по идентичным (одинаковым) или аналогичным (сопоставимым) активам или обязательствам, информация, основанная на исходных данных, за исключением цен (котировок), которые являются наблюдаемыми на рынке, а также информация, основанная на подтверждаемых рынком исходных данных;</w:t>
      </w:r>
    </w:p>
    <w:p w14:paraId="48963128" w14:textId="77777777" w:rsidR="00D06E91" w:rsidRPr="00BB1E15" w:rsidRDefault="00D06E9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Уровень 3 – информация, не основанная на наблюдаемых исходных данных. Уровень применим к большей части нефинансовых активов и обязательств.</w:t>
      </w:r>
    </w:p>
    <w:p w14:paraId="44E8A525" w14:textId="77777777" w:rsidR="00D06E91" w:rsidRPr="00BB1E15" w:rsidRDefault="00D06E91" w:rsidP="00B62BA5">
      <w:pPr>
        <w:autoSpaceDE w:val="0"/>
        <w:autoSpaceDN w:val="0"/>
        <w:adjustRightInd w:val="0"/>
        <w:ind w:firstLine="284"/>
        <w:jc w:val="both"/>
        <w:rPr>
          <w:rFonts w:ascii="Times New Roman" w:hAnsi="Times New Roman" w:cs="Times New Roman"/>
        </w:rPr>
      </w:pPr>
      <w:r w:rsidRPr="00BB1E15">
        <w:rPr>
          <w:rFonts w:ascii="Times New Roman" w:hAnsi="Times New Roman" w:cs="Times New Roman"/>
        </w:rPr>
        <w:t>Наибольший приоритет Банком отдается исходным данным Уровня 1, а самый наименьший – Уровня 3.</w:t>
      </w:r>
    </w:p>
    <w:p w14:paraId="2C145F93" w14:textId="75469D64" w:rsidR="00D06E91" w:rsidRPr="00BB1E15" w:rsidRDefault="00D06E91" w:rsidP="001905E4">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Порядок учета финансовых инструментов определяется Учетной политикой Банка.</w:t>
      </w:r>
    </w:p>
    <w:p w14:paraId="76E3630B" w14:textId="1C9BD5B1" w:rsidR="00FB323B" w:rsidRPr="00BB1E15" w:rsidRDefault="00FB323B" w:rsidP="00B62BA5">
      <w:pPr>
        <w:pStyle w:val="20"/>
        <w:shd w:val="clear" w:color="auto" w:fill="auto"/>
        <w:tabs>
          <w:tab w:val="left" w:pos="643"/>
        </w:tabs>
        <w:spacing w:line="240" w:lineRule="auto"/>
        <w:ind w:firstLine="0"/>
        <w:jc w:val="left"/>
        <w:rPr>
          <w:sz w:val="24"/>
          <w:szCs w:val="24"/>
        </w:rPr>
      </w:pPr>
    </w:p>
    <w:p w14:paraId="0C5B854D" w14:textId="77777777" w:rsidR="000324FD" w:rsidRPr="00BB1E15" w:rsidRDefault="00ED0CD3">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Критерии активного рынка</w:t>
      </w:r>
    </w:p>
    <w:p w14:paraId="2E158875" w14:textId="44254723" w:rsidR="00E517D3" w:rsidRPr="00BB1E15" w:rsidRDefault="00E517D3" w:rsidP="00B62BA5">
      <w:pPr>
        <w:pStyle w:val="20"/>
        <w:shd w:val="clear" w:color="auto" w:fill="auto"/>
        <w:tabs>
          <w:tab w:val="left" w:pos="643"/>
        </w:tabs>
        <w:spacing w:line="240" w:lineRule="auto"/>
        <w:ind w:firstLine="0"/>
        <w:jc w:val="left"/>
        <w:rPr>
          <w:sz w:val="24"/>
          <w:szCs w:val="24"/>
        </w:rPr>
      </w:pPr>
    </w:p>
    <w:p w14:paraId="6ED42F56" w14:textId="673BF73A" w:rsidR="00C60396" w:rsidRPr="00BB1E15" w:rsidRDefault="00C60396">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Критериями существенности для отнесения рынка по финансовому инструменту к активному являются:</w:t>
      </w:r>
    </w:p>
    <w:p w14:paraId="6D100534" w14:textId="5F79DB46" w:rsidR="00727695" w:rsidRPr="00BB1E15" w:rsidRDefault="00727695">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По ценным бумагам, обращающимся на российских фондовых биржах:</w:t>
      </w:r>
    </w:p>
    <w:p w14:paraId="3A1964A3" w14:textId="3B03AC97"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lastRenderedPageBreak/>
        <w:t>– информация о котировках доступна в базах данных (в том числе электронных), либо может быть представлена организатором торговли или иным уполномоченным лицом любому заинтересованному лицу</w:t>
      </w:r>
      <w:r w:rsidR="00A54A9C" w:rsidRPr="00BB1E15">
        <w:rPr>
          <w:rFonts w:ascii="Times New Roman" w:hAnsi="Times New Roman" w:cs="Times New Roman"/>
        </w:rPr>
        <w:t xml:space="preserve"> на </w:t>
      </w:r>
      <w:r w:rsidR="00F85AF9" w:rsidRPr="00BB1E15">
        <w:rPr>
          <w:rFonts w:ascii="Times New Roman" w:hAnsi="Times New Roman" w:cs="Times New Roman"/>
        </w:rPr>
        <w:t>регулярной</w:t>
      </w:r>
      <w:r w:rsidR="00A54A9C" w:rsidRPr="00BB1E15">
        <w:rPr>
          <w:rFonts w:ascii="Times New Roman" w:hAnsi="Times New Roman" w:cs="Times New Roman"/>
        </w:rPr>
        <w:t xml:space="preserve"> основе</w:t>
      </w:r>
      <w:r w:rsidRPr="00BB1E15">
        <w:rPr>
          <w:rFonts w:ascii="Times New Roman" w:hAnsi="Times New Roman" w:cs="Times New Roman"/>
        </w:rPr>
        <w:t>;</w:t>
      </w:r>
    </w:p>
    <w:p w14:paraId="7B368C4A" w14:textId="37AAE7B4"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по ценной бумаге на конец дня рыночной цены, определяемой организатором торговли в соответствии с требованиями Банка России, и/или</w:t>
      </w:r>
    </w:p>
    <w:p w14:paraId="76B0F33B" w14:textId="20715A88"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по ценной бумаге в течение последних 10 торговых дней котировки на покупку (цена спроса на момент окончания торговой сессии) у организатора торговли.</w:t>
      </w:r>
    </w:p>
    <w:p w14:paraId="7D70247A" w14:textId="77777777" w:rsidR="00BC103F" w:rsidRPr="00BB1E15" w:rsidRDefault="00BC103F">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По ценным бумагам, обращающимся на иностранных фондовых биржах:</w:t>
      </w:r>
    </w:p>
    <w:p w14:paraId="52345AE0" w14:textId="3994E711"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ценная бумага допущена к обращению хотя бы одним организатором торговли, имеющим на это право в соответствии с национальным законодательством страны организатора торговли;</w:t>
      </w:r>
    </w:p>
    <w:p w14:paraId="3D8F1546" w14:textId="1700E0BE"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информация о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w:t>
      </w:r>
    </w:p>
    <w:p w14:paraId="352FE65D" w14:textId="7389B078"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по ценной бумаге на конец дня цены закрытия, определяемой организатором торговли; и/или</w:t>
      </w:r>
    </w:p>
    <w:p w14:paraId="09A53FA7" w14:textId="69FF559A" w:rsidR="00BC103F" w:rsidRPr="00BB1E15" w:rsidRDefault="00BC103F"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в течение последних 10 торговых дней котировки на покупку у организатора торговли.</w:t>
      </w:r>
    </w:p>
    <w:p w14:paraId="1D3616D4" w14:textId="77777777" w:rsidR="00F97EF6" w:rsidRPr="00BB1E15" w:rsidRDefault="00F97EF6">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Для ценных бумаг, обращающихся как на российских фондовых биржах, так и на иностранных фондовых биржах:</w:t>
      </w:r>
    </w:p>
    <w:p w14:paraId="3F168541" w14:textId="69BD1B5C" w:rsidR="00F97EF6" w:rsidRPr="00BB1E15" w:rsidRDefault="00F97EF6" w:rsidP="00B62BA5">
      <w:pPr>
        <w:widowControl/>
        <w:autoSpaceDE w:val="0"/>
        <w:autoSpaceDN w:val="0"/>
        <w:adjustRightInd w:val="0"/>
        <w:jc w:val="both"/>
        <w:rPr>
          <w:rFonts w:ascii="Times New Roman" w:hAnsi="Times New Roman" w:cs="Times New Roman"/>
          <w:color w:val="auto"/>
          <w:lang w:bidi="ar-SA"/>
        </w:rPr>
      </w:pPr>
      <w:r w:rsidRPr="00BB1E15">
        <w:rPr>
          <w:rFonts w:ascii="Times New Roman" w:hAnsi="Times New Roman" w:cs="Times New Roman"/>
        </w:rPr>
        <w:t>– наличие за последние 30 календарных дней, предшествующих дате расчета/определения</w:t>
      </w:r>
      <w:r w:rsidR="006E0D96" w:rsidRPr="00BB1E15">
        <w:rPr>
          <w:rFonts w:ascii="Times New Roman" w:hAnsi="Times New Roman" w:cs="Times New Roman"/>
        </w:rPr>
        <w:t xml:space="preserve"> справедливой стоимости</w:t>
      </w:r>
      <w:r w:rsidRPr="00BB1E15">
        <w:rPr>
          <w:rFonts w:ascii="Times New Roman" w:hAnsi="Times New Roman" w:cs="Times New Roman"/>
        </w:rPr>
        <w:t xml:space="preserve">, достаточного объема торгов (не менее эквивалента 1 млн. долларов США в режиме основных торгов, </w:t>
      </w:r>
      <w:r w:rsidRPr="00BB1E15">
        <w:rPr>
          <w:rFonts w:ascii="Times New Roman" w:hAnsi="Times New Roman" w:cs="Times New Roman"/>
          <w:color w:val="auto"/>
          <w:lang w:bidi="ar-SA"/>
        </w:rPr>
        <w:t>на основании заявок, адресованных всем участникам торгов</w:t>
      </w:r>
      <w:r w:rsidRPr="00BB1E15">
        <w:rPr>
          <w:rFonts w:ascii="Times New Roman" w:hAnsi="Times New Roman" w:cs="Times New Roman"/>
        </w:rPr>
        <w:t>), не менее 5 торговых дней с совершенными сделками и количество таких сделок за рассматриваемый период не менее 10.</w:t>
      </w:r>
    </w:p>
    <w:p w14:paraId="16941C7B" w14:textId="697D7E0F" w:rsidR="00E60F7C" w:rsidRPr="00BB1E15" w:rsidRDefault="00E60F7C">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Для внебиржевых ценных бумаг:</w:t>
      </w:r>
    </w:p>
    <w:p w14:paraId="4B155401" w14:textId="1DB91229" w:rsidR="00E60F7C" w:rsidRPr="00BB1E15" w:rsidRDefault="00E60F7C"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котировок в течение последних 30 календарных дней, предшествующих дате расчета/определения;</w:t>
      </w:r>
    </w:p>
    <w:p w14:paraId="4BB33A37" w14:textId="2E268C05" w:rsidR="00E60F7C" w:rsidRPr="00BB1E15" w:rsidRDefault="00E60F7C"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количество брокеров, дилеров или иных участников рынка, чьи котировки публично доступны, составляет не менее 3-х</w:t>
      </w:r>
      <w:r w:rsidR="00220041">
        <w:rPr>
          <w:rFonts w:ascii="Times New Roman" w:hAnsi="Times New Roman" w:cs="Times New Roman"/>
        </w:rPr>
        <w:t>.</w:t>
      </w:r>
    </w:p>
    <w:p w14:paraId="21D59C40" w14:textId="68D4A12A" w:rsidR="00E07142" w:rsidRPr="00BB1E15" w:rsidRDefault="00A56B7D">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xml:space="preserve">Для </w:t>
      </w:r>
      <w:r w:rsidR="00C5427E" w:rsidRPr="00BB1E15">
        <w:rPr>
          <w:rFonts w:ascii="Times New Roman" w:hAnsi="Times New Roman" w:cs="Times New Roman"/>
        </w:rPr>
        <w:t xml:space="preserve">биржевых </w:t>
      </w:r>
      <w:r w:rsidRPr="00BB1E15">
        <w:rPr>
          <w:rFonts w:ascii="Times New Roman" w:hAnsi="Times New Roman" w:cs="Times New Roman"/>
        </w:rPr>
        <w:t>ПФИ:</w:t>
      </w:r>
    </w:p>
    <w:p w14:paraId="73762A56" w14:textId="77777777" w:rsidR="000A1193" w:rsidRPr="00BB1E15" w:rsidRDefault="000A1193"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методика заключения, обращения и исполнения данных ПФИ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 (российские или иностранные биржи);</w:t>
      </w:r>
    </w:p>
    <w:p w14:paraId="17431D0E" w14:textId="77777777" w:rsidR="000A1193" w:rsidRPr="00BB1E15" w:rsidRDefault="000A1193"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информация о ценах ПФИ является общедоступной,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w:t>
      </w:r>
    </w:p>
    <w:p w14:paraId="04BE66A6" w14:textId="77777777" w:rsidR="000A1193" w:rsidRPr="00BB1E15" w:rsidRDefault="000A1193"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операции с данными ПФИ совершаются на регулярной основе. Под регулярностью совершения операции понимается осуществление не менее 10 сделок с данным ПФИ за последние 30 (Тридцать) календарных дней;</w:t>
      </w:r>
    </w:p>
    <w:p w14:paraId="1774A980" w14:textId="77777777" w:rsidR="000A1193" w:rsidRPr="00BB1E15" w:rsidRDefault="000A1193"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объем торгов с данными ПФИ за последние 30 (Тридцать) календарных дней не менее эквивалента 1 млн. долларов США.</w:t>
      </w:r>
    </w:p>
    <w:p w14:paraId="71975A01" w14:textId="77777777" w:rsidR="000A1193" w:rsidRPr="00BB1E15" w:rsidRDefault="000A1193" w:rsidP="00151701">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Для внебиржевых ПФИ критериями активного рынка являются:</w:t>
      </w:r>
    </w:p>
    <w:p w14:paraId="5664D5A4" w14:textId="77777777" w:rsidR="000A1193" w:rsidRPr="00BB1E15" w:rsidRDefault="000A1193"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активного рынка по базовому активу ПФИ и иным риск-факторам (курсы валют, процентные ставки, волатильность, иные аналогичные показатели), влияющим на справедливую стоимость ПФИ.</w:t>
      </w:r>
    </w:p>
    <w:p w14:paraId="7564E963" w14:textId="6621397E" w:rsidR="000A1193" w:rsidRPr="00BB1E15" w:rsidRDefault="000A1193" w:rsidP="00B62BA5">
      <w:pPr>
        <w:autoSpaceDE w:val="0"/>
        <w:autoSpaceDN w:val="0"/>
        <w:adjustRightInd w:val="0"/>
        <w:ind w:firstLine="708"/>
        <w:jc w:val="both"/>
        <w:rPr>
          <w:rFonts w:ascii="Times New Roman" w:hAnsi="Times New Roman" w:cs="Times New Roman"/>
        </w:rPr>
      </w:pPr>
      <w:r w:rsidRPr="00BB1E15">
        <w:rPr>
          <w:rFonts w:ascii="Times New Roman" w:hAnsi="Times New Roman" w:cs="Times New Roman"/>
        </w:rPr>
        <w:t>Базовым активом ПФИ признаются ценные бумаги, товары, валюта, процентные ставки, уровень инфляции, официальная статистическая информация, договоры, являющиеся ПФИ, другие показатели, обстоятельства или рассчитываемые на основании различных показателей значения, от которых зависят обязательства стороны или сторон договора, являющегося ПФИ.</w:t>
      </w:r>
    </w:p>
    <w:p w14:paraId="3B5A81FC" w14:textId="77777777" w:rsidR="000A1193" w:rsidRPr="00BB1E15" w:rsidRDefault="000A1193" w:rsidP="00B62BA5">
      <w:pPr>
        <w:autoSpaceDE w:val="0"/>
        <w:autoSpaceDN w:val="0"/>
        <w:adjustRightInd w:val="0"/>
        <w:ind w:firstLine="708"/>
        <w:jc w:val="both"/>
        <w:rPr>
          <w:rFonts w:ascii="Times New Roman" w:hAnsi="Times New Roman" w:cs="Times New Roman"/>
        </w:rPr>
      </w:pPr>
      <w:r w:rsidRPr="00BB1E15">
        <w:rPr>
          <w:rFonts w:ascii="Times New Roman" w:hAnsi="Times New Roman" w:cs="Times New Roman"/>
        </w:rPr>
        <w:t xml:space="preserve">Для определения активности рынка по ПФИ, базовым активом которых выступают договоры, являющиеся ПФИ, применяются критерии, указанные в настоящем пункте Методики. </w:t>
      </w:r>
    </w:p>
    <w:p w14:paraId="1A3986AD" w14:textId="77777777" w:rsidR="000A1193" w:rsidRPr="00BB1E15" w:rsidRDefault="000A1193" w:rsidP="00B62BA5">
      <w:pPr>
        <w:autoSpaceDE w:val="0"/>
        <w:autoSpaceDN w:val="0"/>
        <w:adjustRightInd w:val="0"/>
        <w:ind w:firstLine="708"/>
        <w:jc w:val="both"/>
        <w:rPr>
          <w:rFonts w:ascii="Times New Roman" w:hAnsi="Times New Roman" w:cs="Times New Roman"/>
        </w:rPr>
      </w:pPr>
      <w:r w:rsidRPr="00BB1E15">
        <w:rPr>
          <w:rFonts w:ascii="Times New Roman" w:hAnsi="Times New Roman" w:cs="Times New Roman"/>
        </w:rPr>
        <w:t>Критериями для отнесения рынка к активному по остальным финансовым инструментам, являющимся базовым активом ПФИ, являются:</w:t>
      </w:r>
    </w:p>
    <w:p w14:paraId="2BF0646E" w14:textId="17BAA23B" w:rsidR="000A1193" w:rsidRPr="00BB1E15" w:rsidRDefault="000A1193">
      <w:pPr>
        <w:pStyle w:val="a8"/>
        <w:widowControl/>
        <w:numPr>
          <w:ilvl w:val="0"/>
          <w:numId w:val="2"/>
        </w:numPr>
        <w:autoSpaceDE w:val="0"/>
        <w:autoSpaceDN w:val="0"/>
        <w:adjustRightInd w:val="0"/>
        <w:ind w:left="1276" w:hanging="425"/>
        <w:jc w:val="both"/>
        <w:rPr>
          <w:rFonts w:ascii="Times New Roman" w:hAnsi="Times New Roman" w:cs="Times New Roman"/>
        </w:rPr>
      </w:pPr>
      <w:r w:rsidRPr="00BB1E15">
        <w:rPr>
          <w:rFonts w:ascii="Times New Roman" w:hAnsi="Times New Roman" w:cs="Times New Roman"/>
        </w:rPr>
        <w:t xml:space="preserve"> По ценным бумагам, обращающимся на российских фондовых биржах:</w:t>
      </w:r>
    </w:p>
    <w:p w14:paraId="404991AC" w14:textId="704B51AA"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информация о котировках доступна в базах данных (в том числе электронных), либо может быть представлена организатором торговли или иным уполномоченным лицом любому заинтересованному лицу</w:t>
      </w:r>
      <w:r w:rsidR="00E252F3" w:rsidRPr="00BB1E15">
        <w:rPr>
          <w:rFonts w:ascii="Times New Roman" w:hAnsi="Times New Roman" w:cs="Times New Roman"/>
        </w:rPr>
        <w:t xml:space="preserve"> на регулярной основе</w:t>
      </w:r>
      <w:r w:rsidRPr="00BB1E15">
        <w:rPr>
          <w:rFonts w:ascii="Times New Roman" w:hAnsi="Times New Roman" w:cs="Times New Roman"/>
        </w:rPr>
        <w:t>;</w:t>
      </w:r>
    </w:p>
    <w:p w14:paraId="616658C9"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lastRenderedPageBreak/>
        <w:t xml:space="preserve">– наличие по ценной бумаге на конец дня рыночной цены, определяемой организатором торговли в соответствии с требованиями Банка России, и/или </w:t>
      </w:r>
    </w:p>
    <w:p w14:paraId="2E69070A"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наличие по ценной бумаге в течение последних 10 торговых дней котировки на покупку (цена спроса на момент окончания торговой сессии) у организатора торговли. Основным рынком (основным источником информации) является ПАО Московская Биржа. </w:t>
      </w:r>
    </w:p>
    <w:p w14:paraId="0E3FD351" w14:textId="77777777" w:rsidR="000A1193" w:rsidRPr="00BB1E15" w:rsidRDefault="000A1193">
      <w:pPr>
        <w:pStyle w:val="a8"/>
        <w:widowControl/>
        <w:numPr>
          <w:ilvl w:val="0"/>
          <w:numId w:val="2"/>
        </w:numPr>
        <w:autoSpaceDE w:val="0"/>
        <w:autoSpaceDN w:val="0"/>
        <w:adjustRightInd w:val="0"/>
        <w:ind w:left="1276" w:hanging="425"/>
        <w:jc w:val="both"/>
        <w:rPr>
          <w:rFonts w:ascii="Times New Roman" w:hAnsi="Times New Roman" w:cs="Times New Roman"/>
        </w:rPr>
      </w:pPr>
      <w:r w:rsidRPr="00BB1E15">
        <w:rPr>
          <w:rFonts w:ascii="Times New Roman" w:hAnsi="Times New Roman" w:cs="Times New Roman"/>
        </w:rPr>
        <w:t>По ценным бумагам, обращающимся на иностранных фондовых биржах:</w:t>
      </w:r>
    </w:p>
    <w:p w14:paraId="419A853F"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ценная бумага допущена к обращению хотя бы одним организатором торговли, имеющим на это право в соответствии с национальным законодательством страны организатора торговли; </w:t>
      </w:r>
    </w:p>
    <w:p w14:paraId="5FF68BEA" w14:textId="605F5C2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информация о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w:t>
      </w:r>
    </w:p>
    <w:p w14:paraId="10627B88"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наличие по ценной бумаге на конец дня цены закрытия, определяемой организатором торговли; и/или </w:t>
      </w:r>
    </w:p>
    <w:p w14:paraId="2D29DCFC"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наличие в течение последних 10 торговых дней котировки на покупку у организатора торговли. </w:t>
      </w:r>
    </w:p>
    <w:p w14:paraId="3A0F7B73" w14:textId="6CC727A1" w:rsidR="000A1193" w:rsidRPr="00BB1E15" w:rsidRDefault="000A1193">
      <w:pPr>
        <w:pStyle w:val="a8"/>
        <w:widowControl/>
        <w:numPr>
          <w:ilvl w:val="0"/>
          <w:numId w:val="2"/>
        </w:numPr>
        <w:autoSpaceDE w:val="0"/>
        <w:autoSpaceDN w:val="0"/>
        <w:adjustRightInd w:val="0"/>
        <w:ind w:left="0" w:firstLine="851"/>
        <w:jc w:val="both"/>
        <w:rPr>
          <w:rFonts w:ascii="Times New Roman" w:hAnsi="Times New Roman" w:cs="Times New Roman"/>
        </w:rPr>
      </w:pPr>
      <w:r w:rsidRPr="00BB1E15">
        <w:rPr>
          <w:rFonts w:ascii="Times New Roman" w:hAnsi="Times New Roman" w:cs="Times New Roman"/>
        </w:rPr>
        <w:t>По ценным бумагам, обращающимся преимущественно на внебиржевом рынке (в том числе еврооблигациям): наличие в течение последних 10 торговых дней котировок, определенных в соответствии с пунктом 4 Порядка, утвержденного Приказом ФСФР №10-66/пз-н.</w:t>
      </w:r>
    </w:p>
    <w:p w14:paraId="7EFFC4B0" w14:textId="77777777" w:rsidR="000A1193" w:rsidRPr="00BB1E15" w:rsidRDefault="000A1193">
      <w:pPr>
        <w:pStyle w:val="a8"/>
        <w:widowControl/>
        <w:numPr>
          <w:ilvl w:val="0"/>
          <w:numId w:val="2"/>
        </w:numPr>
        <w:autoSpaceDE w:val="0"/>
        <w:autoSpaceDN w:val="0"/>
        <w:adjustRightInd w:val="0"/>
        <w:ind w:left="1276" w:hanging="425"/>
        <w:jc w:val="both"/>
        <w:rPr>
          <w:rFonts w:ascii="Times New Roman" w:hAnsi="Times New Roman" w:cs="Times New Roman"/>
        </w:rPr>
      </w:pPr>
      <w:r w:rsidRPr="00BB1E15">
        <w:rPr>
          <w:rFonts w:ascii="Times New Roman" w:hAnsi="Times New Roman" w:cs="Times New Roman"/>
        </w:rPr>
        <w:t>Для биржевых финансовых инструментов:</w:t>
      </w:r>
    </w:p>
    <w:p w14:paraId="352992F1"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наличие достаточного объема торгов за последние 30 (Тридцать) календарных дней, предшествующих дате расчета/определения (не менее эквивалента 1 млн. долларов США) и не менее 5 торговых дней с совершенными сделками в течение последних 10 торговых дней и количество таких сделок за рассматриваемый период не менее 10.</w:t>
      </w:r>
    </w:p>
    <w:p w14:paraId="16F6FCE6" w14:textId="2F483F2E" w:rsidR="000A1193" w:rsidRPr="00BB1E15" w:rsidRDefault="000A1193">
      <w:pPr>
        <w:pStyle w:val="a8"/>
        <w:widowControl/>
        <w:numPr>
          <w:ilvl w:val="0"/>
          <w:numId w:val="2"/>
        </w:numPr>
        <w:autoSpaceDE w:val="0"/>
        <w:autoSpaceDN w:val="0"/>
        <w:adjustRightInd w:val="0"/>
        <w:ind w:left="1276" w:hanging="425"/>
        <w:jc w:val="both"/>
        <w:rPr>
          <w:rFonts w:ascii="Times New Roman" w:hAnsi="Times New Roman" w:cs="Times New Roman"/>
        </w:rPr>
      </w:pPr>
      <w:r w:rsidRPr="00BB1E15">
        <w:rPr>
          <w:rFonts w:ascii="Times New Roman" w:hAnsi="Times New Roman" w:cs="Times New Roman"/>
        </w:rPr>
        <w:t>Для внебиржевых финансовых инструментов:</w:t>
      </w:r>
    </w:p>
    <w:p w14:paraId="1C50B2C3"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наличие котировок в течение последних 30 (Тридцать) календарных дней, предшествующих дате расчета/определения; </w:t>
      </w:r>
    </w:p>
    <w:p w14:paraId="5EE6A6F3"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Для всех финансовых инструментов критериями активного рынка являются: </w:t>
      </w:r>
    </w:p>
    <w:p w14:paraId="519F9663"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цены отражают действительные рыночные операции, проводимые в ходе обычной деятельности, совершаемые участниками рынка; </w:t>
      </w:r>
    </w:p>
    <w:p w14:paraId="72593332"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информация о ценах является доступной и раскрывается/наблюдается регулярно; </w:t>
      </w:r>
    </w:p>
    <w:p w14:paraId="630E0032" w14:textId="77777777"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xml:space="preserve">– отклонения цен спроса и предложения в рамках одного торгового дня не существенны (не более 10%); </w:t>
      </w:r>
    </w:p>
    <w:p w14:paraId="2B2A61E5" w14:textId="23A7891E" w:rsidR="000A1193" w:rsidRPr="00BB1E15" w:rsidRDefault="000A1193"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изменение цен/котировок финансового инструмента в течение последних 30 (Тридцати) календарных дней не существенно (не более 10%).</w:t>
      </w:r>
    </w:p>
    <w:p w14:paraId="1D81CFAB" w14:textId="486D3D4D" w:rsidR="00E60F7C" w:rsidRPr="00BB1E15" w:rsidRDefault="00E60F7C">
      <w:pPr>
        <w:pStyle w:val="a8"/>
        <w:widowControl/>
        <w:numPr>
          <w:ilvl w:val="0"/>
          <w:numId w:val="8"/>
        </w:numPr>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Для всех финансовых инструментов критериями активного рынка являются:</w:t>
      </w:r>
    </w:p>
    <w:p w14:paraId="1808864D" w14:textId="244C004C" w:rsidR="00E60F7C" w:rsidRPr="00BB1E15" w:rsidRDefault="00E60F7C"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цены отражают действительные рыночные операции, проводимые в ходе обычной деятельности, совершаемые участниками рынка;</w:t>
      </w:r>
    </w:p>
    <w:p w14:paraId="1A14EDC6" w14:textId="12B427CC" w:rsidR="00E60F7C" w:rsidRPr="00BB1E15" w:rsidRDefault="00E60F7C"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информация о ценах является доступной и раскрывается/наблюдается регулярно.</w:t>
      </w:r>
    </w:p>
    <w:p w14:paraId="767E6126" w14:textId="2EABC870" w:rsidR="00BC103F" w:rsidRPr="00BB1E15" w:rsidRDefault="00110FAC">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Рынки, не удовлетворяющие критериям активного рынка, признаются неактивными.</w:t>
      </w:r>
    </w:p>
    <w:p w14:paraId="6BF5BEAA" w14:textId="77777777" w:rsidR="00BC103F" w:rsidRPr="00BB1E15" w:rsidRDefault="00BC103F" w:rsidP="00B62BA5">
      <w:pPr>
        <w:pStyle w:val="Default"/>
        <w:jc w:val="both"/>
        <w:rPr>
          <w:rFonts w:ascii="Times New Roman" w:hAnsi="Times New Roman" w:cs="Times New Roman"/>
          <w:u w:val="single"/>
        </w:rPr>
      </w:pPr>
    </w:p>
    <w:p w14:paraId="4E9EAC54" w14:textId="791B8BED" w:rsidR="000324FD" w:rsidRPr="00BB1E15" w:rsidRDefault="00ED0CD3">
      <w:pPr>
        <w:pStyle w:val="a8"/>
        <w:keepNext/>
        <w:keepLines/>
        <w:numPr>
          <w:ilvl w:val="0"/>
          <w:numId w:val="3"/>
        </w:numPr>
        <w:tabs>
          <w:tab w:val="left" w:pos="1035"/>
        </w:tabs>
        <w:jc w:val="center"/>
        <w:outlineLvl w:val="3"/>
        <w:rPr>
          <w:rFonts w:ascii="Times New Roman" w:hAnsi="Times New Roman" w:cs="Times New Roman"/>
          <w:b/>
        </w:rPr>
      </w:pPr>
      <w:bookmarkStart w:id="0" w:name="bookmark4"/>
      <w:r w:rsidRPr="00BB1E15">
        <w:rPr>
          <w:rFonts w:ascii="Times New Roman" w:hAnsi="Times New Roman" w:cs="Times New Roman"/>
          <w:b/>
        </w:rPr>
        <w:t>Классификация</w:t>
      </w:r>
      <w:r w:rsidR="00393C5A" w:rsidRPr="00BB1E15">
        <w:rPr>
          <w:rFonts w:ascii="Times New Roman" w:hAnsi="Times New Roman" w:cs="Times New Roman"/>
          <w:b/>
        </w:rPr>
        <w:t xml:space="preserve"> </w:t>
      </w:r>
      <w:r w:rsidR="0075623E" w:rsidRPr="00BB1E15">
        <w:rPr>
          <w:rFonts w:ascii="Times New Roman" w:hAnsi="Times New Roman" w:cs="Times New Roman"/>
          <w:b/>
        </w:rPr>
        <w:t>исходных данных,</w:t>
      </w:r>
      <w:r w:rsidR="0075623E" w:rsidRPr="00BB1E15">
        <w:rPr>
          <w:rFonts w:ascii="Times New Roman" w:hAnsi="Times New Roman" w:cs="Times New Roman"/>
          <w:b/>
        </w:rPr>
        <w:br/>
      </w:r>
      <w:r w:rsidRPr="00BB1E15">
        <w:rPr>
          <w:rFonts w:ascii="Times New Roman" w:hAnsi="Times New Roman" w:cs="Times New Roman"/>
          <w:b/>
        </w:rPr>
        <w:t>используемых для определения справедливой стоимости ценных бумаг</w:t>
      </w:r>
      <w:bookmarkEnd w:id="0"/>
    </w:p>
    <w:p w14:paraId="3845EBAF" w14:textId="77777777" w:rsidR="0082382F" w:rsidRPr="00BB1E15" w:rsidRDefault="0082382F" w:rsidP="00B62BA5">
      <w:pPr>
        <w:pStyle w:val="Default"/>
        <w:jc w:val="both"/>
        <w:rPr>
          <w:rFonts w:ascii="Times New Roman" w:hAnsi="Times New Roman" w:cs="Times New Roman"/>
          <w:u w:val="single"/>
        </w:rPr>
      </w:pPr>
    </w:p>
    <w:p w14:paraId="6D6F5D5B" w14:textId="77777777" w:rsidR="00FA0DEF" w:rsidRPr="00BB1E15" w:rsidRDefault="00A80E09">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Для </w:t>
      </w:r>
      <w:r w:rsidR="00FA0DEF" w:rsidRPr="00BB1E15">
        <w:rPr>
          <w:rFonts w:ascii="Times New Roman" w:hAnsi="Times New Roman" w:cs="Times New Roman"/>
        </w:rPr>
        <w:t>достижения</w:t>
      </w:r>
      <w:r w:rsidRPr="00BB1E15">
        <w:rPr>
          <w:rFonts w:ascii="Times New Roman" w:hAnsi="Times New Roman" w:cs="Times New Roman"/>
        </w:rPr>
        <w:t xml:space="preserve"> наибольшей последовательности и сопоставимости оценок справедливой стоимости </w:t>
      </w:r>
      <w:r w:rsidR="00FA0DEF" w:rsidRPr="00BB1E15">
        <w:rPr>
          <w:rFonts w:ascii="Times New Roman" w:hAnsi="Times New Roman" w:cs="Times New Roman"/>
        </w:rPr>
        <w:t>финансовых инструментов</w:t>
      </w:r>
      <w:r w:rsidRPr="00BB1E15">
        <w:rPr>
          <w:rFonts w:ascii="Times New Roman" w:hAnsi="Times New Roman" w:cs="Times New Roman"/>
        </w:rPr>
        <w:t xml:space="preserve"> </w:t>
      </w:r>
      <w:r w:rsidR="00CA58E2" w:rsidRPr="00BB1E15">
        <w:rPr>
          <w:rFonts w:ascii="Times New Roman" w:hAnsi="Times New Roman" w:cs="Times New Roman"/>
        </w:rPr>
        <w:t>настоящ</w:t>
      </w:r>
      <w:r w:rsidR="00FA0DEF" w:rsidRPr="00BB1E15">
        <w:rPr>
          <w:rFonts w:ascii="Times New Roman" w:hAnsi="Times New Roman" w:cs="Times New Roman"/>
        </w:rPr>
        <w:t>ая</w:t>
      </w:r>
      <w:r w:rsidR="00CA58E2" w:rsidRPr="00BB1E15">
        <w:rPr>
          <w:rFonts w:ascii="Times New Roman" w:hAnsi="Times New Roman" w:cs="Times New Roman"/>
        </w:rPr>
        <w:t xml:space="preserve"> Методик</w:t>
      </w:r>
      <w:r w:rsidR="00FA0DEF" w:rsidRPr="00BB1E15">
        <w:rPr>
          <w:rFonts w:ascii="Times New Roman" w:hAnsi="Times New Roman" w:cs="Times New Roman"/>
        </w:rPr>
        <w:t>а устанавливает</w:t>
      </w:r>
      <w:r w:rsidR="00CA58E2" w:rsidRPr="00BB1E15">
        <w:rPr>
          <w:rFonts w:ascii="Times New Roman" w:hAnsi="Times New Roman" w:cs="Times New Roman"/>
        </w:rPr>
        <w:t xml:space="preserve"> </w:t>
      </w:r>
      <w:r w:rsidR="00FA0DEF" w:rsidRPr="00BB1E15">
        <w:rPr>
          <w:rFonts w:ascii="Times New Roman" w:hAnsi="Times New Roman" w:cs="Times New Roman"/>
        </w:rPr>
        <w:t xml:space="preserve">иерархию справедливой стоимости, которая предусматривает группировку исходных данных, включаемых в методы оценки, используемые для </w:t>
      </w:r>
      <w:r w:rsidR="00FB7BA6" w:rsidRPr="00BB1E15">
        <w:rPr>
          <w:rFonts w:ascii="Times New Roman" w:hAnsi="Times New Roman" w:cs="Times New Roman"/>
        </w:rPr>
        <w:t>определения</w:t>
      </w:r>
      <w:r w:rsidR="00FA0DEF" w:rsidRPr="00BB1E15">
        <w:rPr>
          <w:rFonts w:ascii="Times New Roman" w:hAnsi="Times New Roman" w:cs="Times New Roman"/>
        </w:rPr>
        <w:t xml:space="preserve"> справедливой стоимости, по трем уровням. </w:t>
      </w:r>
    </w:p>
    <w:p w14:paraId="645D6285" w14:textId="4E3A5954" w:rsidR="00F712B6" w:rsidRPr="00BB1E15" w:rsidRDefault="00F712B6">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Исходные данные 1</w:t>
      </w:r>
      <w:r w:rsidR="00711FCD" w:rsidRPr="00BB1E15">
        <w:rPr>
          <w:rFonts w:ascii="Times New Roman" w:hAnsi="Times New Roman" w:cs="Times New Roman"/>
        </w:rPr>
        <w:t xml:space="preserve"> уровня</w:t>
      </w:r>
      <w:r w:rsidRPr="00BB1E15">
        <w:rPr>
          <w:rFonts w:ascii="Times New Roman" w:hAnsi="Times New Roman" w:cs="Times New Roman"/>
        </w:rPr>
        <w:t xml:space="preserve"> – ценовые котировки (некорректируемые) активных рынков для финансовых инструментов, к которым у организации есть доступ на дату оценки.</w:t>
      </w:r>
    </w:p>
    <w:p w14:paraId="6D9968E6" w14:textId="12CF2881" w:rsidR="00711FCD" w:rsidRPr="00BB1E15" w:rsidRDefault="00D75F46" w:rsidP="00B62BA5">
      <w:pPr>
        <w:pStyle w:val="af1"/>
        <w:ind w:firstLine="284"/>
        <w:jc w:val="both"/>
        <w:rPr>
          <w:rFonts w:ascii="Times New Roman" w:hAnsi="Times New Roman" w:cs="Times New Roman"/>
        </w:rPr>
      </w:pPr>
      <w:r w:rsidRPr="00BB1E15">
        <w:rPr>
          <w:rFonts w:ascii="Times New Roman" w:hAnsi="Times New Roman" w:cs="Times New Roman"/>
        </w:rPr>
        <w:t>Исходные данные 1 уровня могут быть доступны для многих финансовых инструментов, некоторые из которых могут быть обменяны на нескольких активных рынках (например, на различных биржах). Поэтому в рамках исходных данных 1 уровня акцент делается на определении следующего:</w:t>
      </w:r>
    </w:p>
    <w:p w14:paraId="315A1E91" w14:textId="77777777" w:rsidR="00711FCD" w:rsidRPr="00BB1E15" w:rsidRDefault="00711FCD" w:rsidP="00B62BA5">
      <w:pPr>
        <w:pStyle w:val="af1"/>
        <w:jc w:val="both"/>
        <w:rPr>
          <w:rFonts w:ascii="Times New Roman" w:hAnsi="Times New Roman" w:cs="Times New Roman"/>
        </w:rPr>
      </w:pPr>
      <w:r w:rsidRPr="00BB1E15">
        <w:rPr>
          <w:rFonts w:ascii="Times New Roman" w:hAnsi="Times New Roman" w:cs="Times New Roman"/>
          <w:bCs/>
        </w:rPr>
        <w:t>–</w:t>
      </w:r>
      <w:r w:rsidR="00D75F46" w:rsidRPr="00BB1E15">
        <w:rPr>
          <w:rFonts w:ascii="Times New Roman" w:hAnsi="Times New Roman" w:cs="Times New Roman"/>
        </w:rPr>
        <w:t xml:space="preserve"> основного рынка для соответствующего финансового инструмента или, при отсутствии основного рынка, наиболее выгодного рынка для этого финансового инструмента; и</w:t>
      </w:r>
    </w:p>
    <w:p w14:paraId="69536070" w14:textId="77777777" w:rsidR="00711FCD" w:rsidRPr="00BB1E15" w:rsidRDefault="00711FCD" w:rsidP="00B62BA5">
      <w:pPr>
        <w:pStyle w:val="af1"/>
        <w:jc w:val="both"/>
        <w:rPr>
          <w:rFonts w:ascii="Times New Roman" w:hAnsi="Times New Roman" w:cs="Times New Roman"/>
        </w:rPr>
      </w:pPr>
      <w:r w:rsidRPr="00BB1E15">
        <w:rPr>
          <w:rFonts w:ascii="Times New Roman" w:hAnsi="Times New Roman" w:cs="Times New Roman"/>
          <w:bCs/>
        </w:rPr>
        <w:lastRenderedPageBreak/>
        <w:t>–</w:t>
      </w:r>
      <w:r w:rsidR="00D75F46" w:rsidRPr="00BB1E15">
        <w:rPr>
          <w:rFonts w:ascii="Times New Roman" w:hAnsi="Times New Roman" w:cs="Times New Roman"/>
        </w:rPr>
        <w:t xml:space="preserve"> может ли </w:t>
      </w:r>
      <w:r w:rsidRPr="00BB1E15">
        <w:rPr>
          <w:rFonts w:ascii="Times New Roman" w:hAnsi="Times New Roman" w:cs="Times New Roman"/>
        </w:rPr>
        <w:t>Банк</w:t>
      </w:r>
      <w:r w:rsidR="00D75F46" w:rsidRPr="00BB1E15">
        <w:rPr>
          <w:rFonts w:ascii="Times New Roman" w:hAnsi="Times New Roman" w:cs="Times New Roman"/>
        </w:rPr>
        <w:t xml:space="preserve"> заключить сделку в отношении этого финансового инструмента по цене данного рынка на дату оценки.</w:t>
      </w:r>
    </w:p>
    <w:p w14:paraId="3EA798A1" w14:textId="77777777" w:rsidR="00D75F46" w:rsidRPr="00BB1E15" w:rsidRDefault="00D75F46" w:rsidP="00B62BA5">
      <w:pPr>
        <w:pStyle w:val="af1"/>
        <w:ind w:firstLine="284"/>
        <w:jc w:val="both"/>
        <w:rPr>
          <w:rFonts w:ascii="Times New Roman" w:hAnsi="Times New Roman" w:cs="Times New Roman"/>
        </w:rPr>
      </w:pPr>
      <w:r w:rsidRPr="00BB1E15">
        <w:rPr>
          <w:rFonts w:ascii="Times New Roman" w:hAnsi="Times New Roman" w:cs="Times New Roman"/>
        </w:rPr>
        <w:t>В случае если финансовый инструмент котируется на активном рынке, фактическая текущая цена сделки по данному инструменту является наилучшим доказательством справедливой стоимости. Такая цена используется для определения стоимости финансового инструмента без дальнейшей корректировки.</w:t>
      </w:r>
    </w:p>
    <w:p w14:paraId="3E974090" w14:textId="77777777" w:rsidR="00711FCD" w:rsidRPr="00BB1E15" w:rsidRDefault="00711FC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Исходные данные 2 уровня – данные, которые являются прямо или косвенно наблюдаемыми в отношении финансового инструмента, исключая ценовые котировки, отнесенные к исходным данным 1 уровня.</w:t>
      </w:r>
      <w:r w:rsidR="00D458C2" w:rsidRPr="00BB1E15">
        <w:rPr>
          <w:rFonts w:ascii="Times New Roman" w:hAnsi="Times New Roman" w:cs="Times New Roman"/>
        </w:rPr>
        <w:t xml:space="preserve"> В случае если цены по текущим сделкам или опубликованные текущие котировки недоступны, справедливая стоимость финансовых инструментов определяется на </w:t>
      </w:r>
      <w:r w:rsidR="00E50435" w:rsidRPr="00BB1E15">
        <w:rPr>
          <w:rFonts w:ascii="Times New Roman" w:hAnsi="Times New Roman" w:cs="Times New Roman"/>
        </w:rPr>
        <w:t xml:space="preserve">основе методов оценки справедливой стоимости с использованием наблюдаемых параметров, выявляемых напрямую или параметров, выявляемых косвенно. </w:t>
      </w:r>
    </w:p>
    <w:p w14:paraId="4B94B99D" w14:textId="77777777" w:rsidR="008871E0" w:rsidRPr="00BB1E15" w:rsidRDefault="005E1D74">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Исходные данные 3 уровня – ненаблюдаемые исходные данные в отношении финансового инструмента, а также исходные данные, которые не могут быть отнесены к исходным данным 1 уровня и исходным данным 2 уровня.</w:t>
      </w:r>
    </w:p>
    <w:p w14:paraId="23A1AC0E" w14:textId="77777777" w:rsidR="005E1D74" w:rsidRPr="00BB1E15" w:rsidRDefault="00800A91" w:rsidP="00B62BA5">
      <w:pPr>
        <w:pStyle w:val="af1"/>
        <w:ind w:firstLine="284"/>
        <w:jc w:val="both"/>
        <w:rPr>
          <w:rFonts w:ascii="Times New Roman" w:hAnsi="Times New Roman" w:cs="Times New Roman"/>
        </w:rPr>
      </w:pPr>
      <w:r w:rsidRPr="00BB1E15">
        <w:rPr>
          <w:rFonts w:ascii="Times New Roman" w:hAnsi="Times New Roman" w:cs="Times New Roman"/>
        </w:rPr>
        <w:t>Исходные данные 3 уровня используются для определения справедливой стоимости финансовых инструментов, которые не котируются на активном рынке. Их с</w:t>
      </w:r>
      <w:r w:rsidR="005E1D74" w:rsidRPr="00BB1E15">
        <w:rPr>
          <w:rFonts w:ascii="Times New Roman" w:hAnsi="Times New Roman" w:cs="Times New Roman"/>
        </w:rPr>
        <w:t>праведливая стоимость может быть определена с использованием, по крайней мере, одного ненаблюдаемого параметра, значимого для определения справедливой стоимости, или с использованием такого метода оценки, который предполагает, что совокупный эффект ненаблюдаемых параметров является значимым для оценки справедливой стоимости.</w:t>
      </w:r>
      <w:r w:rsidRPr="00BB1E15">
        <w:rPr>
          <w:rFonts w:ascii="Times New Roman" w:hAnsi="Times New Roman" w:cs="Times New Roman"/>
        </w:rPr>
        <w:t xml:space="preserve"> </w:t>
      </w:r>
      <w:r w:rsidR="005E1D74" w:rsidRPr="00BB1E15">
        <w:rPr>
          <w:rFonts w:ascii="Times New Roman" w:hAnsi="Times New Roman" w:cs="Times New Roman"/>
        </w:rPr>
        <w:t>Ненаблюдаемые параметры отражают собственные допущения Банка и допущения, которые используются участниками рынка в процессе установления цены на финансовый инструмент, включая оценку размера риска.</w:t>
      </w:r>
    </w:p>
    <w:p w14:paraId="0C525DC5" w14:textId="77777777" w:rsidR="00FA0DEF" w:rsidRPr="00BB1E15" w:rsidRDefault="00FB7BA6">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При определении</w:t>
      </w:r>
      <w:r w:rsidR="00FA0DEF" w:rsidRPr="00BB1E15">
        <w:rPr>
          <w:rFonts w:ascii="Times New Roman" w:hAnsi="Times New Roman" w:cs="Times New Roman"/>
        </w:rPr>
        <w:t xml:space="preserve"> </w:t>
      </w:r>
      <w:r w:rsidRPr="00BB1E15">
        <w:rPr>
          <w:rFonts w:ascii="Times New Roman" w:hAnsi="Times New Roman" w:cs="Times New Roman"/>
        </w:rPr>
        <w:t xml:space="preserve">справедливой стоимости наибольший приоритет </w:t>
      </w:r>
      <w:r w:rsidR="00986D28" w:rsidRPr="00BB1E15">
        <w:rPr>
          <w:rFonts w:ascii="Times New Roman" w:hAnsi="Times New Roman" w:cs="Times New Roman"/>
        </w:rPr>
        <w:t xml:space="preserve">отдается </w:t>
      </w:r>
      <w:r w:rsidRPr="00BB1E15">
        <w:rPr>
          <w:rFonts w:ascii="Times New Roman" w:hAnsi="Times New Roman" w:cs="Times New Roman"/>
        </w:rPr>
        <w:t>исходным данным 1 уровня и наименьший приоритет</w:t>
      </w:r>
      <w:r w:rsidR="00986D28" w:rsidRPr="00BB1E15">
        <w:rPr>
          <w:rFonts w:ascii="Times New Roman" w:hAnsi="Times New Roman" w:cs="Times New Roman"/>
        </w:rPr>
        <w:t xml:space="preserve"> –</w:t>
      </w:r>
      <w:r w:rsidRPr="00BB1E15">
        <w:rPr>
          <w:rFonts w:ascii="Times New Roman" w:hAnsi="Times New Roman" w:cs="Times New Roman"/>
        </w:rPr>
        <w:t xml:space="preserve"> исходным данным 3 уровня.</w:t>
      </w:r>
    </w:p>
    <w:p w14:paraId="4EE40962" w14:textId="77777777" w:rsidR="00D93564" w:rsidRPr="00BB1E15" w:rsidRDefault="00D93564" w:rsidP="00B62BA5">
      <w:pPr>
        <w:pStyle w:val="Default"/>
        <w:jc w:val="both"/>
        <w:rPr>
          <w:rFonts w:ascii="Times New Roman" w:hAnsi="Times New Roman" w:cs="Times New Roman"/>
          <w:u w:val="single"/>
        </w:rPr>
      </w:pPr>
    </w:p>
    <w:p w14:paraId="1085CFCC" w14:textId="77777777" w:rsidR="00E84CA4" w:rsidRPr="00BB1E15" w:rsidRDefault="00ED0CD3">
      <w:pPr>
        <w:pStyle w:val="a8"/>
        <w:keepNext/>
        <w:keepLines/>
        <w:numPr>
          <w:ilvl w:val="0"/>
          <w:numId w:val="3"/>
        </w:numPr>
        <w:tabs>
          <w:tab w:val="left" w:pos="1035"/>
        </w:tabs>
        <w:jc w:val="center"/>
        <w:outlineLvl w:val="3"/>
        <w:rPr>
          <w:rFonts w:ascii="Times New Roman" w:hAnsi="Times New Roman" w:cs="Times New Roman"/>
          <w:b/>
        </w:rPr>
      </w:pPr>
      <w:bookmarkStart w:id="1" w:name="_Toc527375590"/>
      <w:r w:rsidRPr="00BB1E15">
        <w:rPr>
          <w:rFonts w:ascii="Times New Roman" w:hAnsi="Times New Roman" w:cs="Times New Roman"/>
          <w:b/>
        </w:rPr>
        <w:t xml:space="preserve">Порядок определения справедливой стоимости </w:t>
      </w:r>
      <w:r w:rsidR="00393C5A" w:rsidRPr="00BB1E15">
        <w:rPr>
          <w:rFonts w:ascii="Times New Roman" w:hAnsi="Times New Roman" w:cs="Times New Roman"/>
          <w:b/>
        </w:rPr>
        <w:t>ценных бумаг</w:t>
      </w:r>
    </w:p>
    <w:p w14:paraId="788191AF" w14:textId="77777777" w:rsidR="00C3261D" w:rsidRPr="00BB1E15" w:rsidRDefault="00C3261D" w:rsidP="00B62BA5">
      <w:pPr>
        <w:pStyle w:val="Default"/>
        <w:jc w:val="both"/>
        <w:rPr>
          <w:rFonts w:ascii="Times New Roman" w:hAnsi="Times New Roman" w:cs="Times New Roman"/>
          <w:u w:val="single"/>
        </w:rPr>
      </w:pPr>
    </w:p>
    <w:p w14:paraId="1DBED8D8" w14:textId="77777777" w:rsidR="00876252" w:rsidRPr="00BB1E15" w:rsidRDefault="00876252">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При совершении сделок с ценными бумагами Управление ценных бумаг оценивает возможность получения наблюдаемых исходных данных 1 уровня.</w:t>
      </w:r>
    </w:p>
    <w:p w14:paraId="3D918A18" w14:textId="38A35F97" w:rsidR="00876252" w:rsidRPr="00BB1E15" w:rsidRDefault="00876252">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При первоначальном признании и при дальнейшем учете ценной бумаги исходные данные по каждой ценной бумаге классифицируются в один из трех уровней исходных данных</w:t>
      </w:r>
      <w:r w:rsidR="00F16AD8" w:rsidRPr="00BB1E15">
        <w:rPr>
          <w:rFonts w:ascii="Times New Roman" w:hAnsi="Times New Roman" w:cs="Times New Roman"/>
        </w:rPr>
        <w:t xml:space="preserve"> согласно Приложению </w:t>
      </w:r>
      <w:r w:rsidR="00A801B7" w:rsidRPr="00BB1E15">
        <w:rPr>
          <w:rFonts w:ascii="Times New Roman" w:hAnsi="Times New Roman" w:cs="Times New Roman"/>
        </w:rPr>
        <w:t>№1</w:t>
      </w:r>
      <w:r w:rsidR="00F16AD8" w:rsidRPr="00BB1E15">
        <w:rPr>
          <w:rFonts w:ascii="Times New Roman" w:hAnsi="Times New Roman" w:cs="Times New Roman"/>
        </w:rPr>
        <w:t xml:space="preserve"> к настоящей Методике</w:t>
      </w:r>
      <w:r w:rsidRPr="00BB1E15">
        <w:rPr>
          <w:rFonts w:ascii="Times New Roman" w:hAnsi="Times New Roman" w:cs="Times New Roman"/>
        </w:rPr>
        <w:t>.</w:t>
      </w:r>
    </w:p>
    <w:p w14:paraId="136B9A55" w14:textId="77777777" w:rsidR="00975C8C" w:rsidRPr="00BB1E15" w:rsidRDefault="00975C8C">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Управление ценных бумаг регулярно отслеживает состояние рынка для каждой ценной бумаги на предмет соответствия критериям активности.</w:t>
      </w:r>
    </w:p>
    <w:p w14:paraId="220C59AA" w14:textId="01AC8C93" w:rsidR="00975C8C" w:rsidRPr="00BB1E15" w:rsidRDefault="00975C8C">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В случае исчезновения активного рынка по ценной бумаге определение справедливой стоимости осуществляется в соответствии с </w:t>
      </w:r>
      <w:r w:rsidR="00DB0F5E" w:rsidRPr="00BB1E15">
        <w:rPr>
          <w:rFonts w:ascii="Times New Roman" w:hAnsi="Times New Roman" w:cs="Times New Roman"/>
        </w:rPr>
        <w:t>Разделом</w:t>
      </w:r>
      <w:r w:rsidRPr="00BB1E15">
        <w:rPr>
          <w:rFonts w:ascii="Times New Roman" w:hAnsi="Times New Roman" w:cs="Times New Roman"/>
        </w:rPr>
        <w:t xml:space="preserve"> </w:t>
      </w:r>
      <w:r w:rsidR="00A801B7" w:rsidRPr="00BB1E15">
        <w:rPr>
          <w:rFonts w:ascii="Times New Roman" w:hAnsi="Times New Roman" w:cs="Times New Roman"/>
        </w:rPr>
        <w:t>7</w:t>
      </w:r>
      <w:r w:rsidRPr="00BB1E15">
        <w:rPr>
          <w:rFonts w:ascii="Times New Roman" w:hAnsi="Times New Roman" w:cs="Times New Roman"/>
        </w:rPr>
        <w:t xml:space="preserve"> настоящей Методики.</w:t>
      </w:r>
    </w:p>
    <w:p w14:paraId="4ED89DBB" w14:textId="77777777" w:rsidR="000B7DA2" w:rsidRPr="00BB1E15" w:rsidRDefault="000B7DA2">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Управление контроля рисков на регулярной основе выявляет признаки обесценения ценных бумаг, а также факторы, свидетельствующие об ухудшении финансового положения эмитента. В случае выявления признаков обесценения при определении справедливой стоимости в исходные данные вносятся корректировки.</w:t>
      </w:r>
    </w:p>
    <w:p w14:paraId="6727FA01" w14:textId="77777777" w:rsidR="00520551" w:rsidRPr="00BB1E15" w:rsidRDefault="0052055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Ответственные за определение справедливой стоимости ценных бумаг подразделения приведены в Приложении </w:t>
      </w:r>
      <w:r w:rsidR="002028CB" w:rsidRPr="00BB1E15">
        <w:rPr>
          <w:rFonts w:ascii="Times New Roman" w:hAnsi="Times New Roman" w:cs="Times New Roman"/>
        </w:rPr>
        <w:t>№2</w:t>
      </w:r>
      <w:r w:rsidRPr="00BB1E15">
        <w:rPr>
          <w:rFonts w:ascii="Times New Roman" w:hAnsi="Times New Roman" w:cs="Times New Roman"/>
        </w:rPr>
        <w:t xml:space="preserve"> к настоящей Методике.</w:t>
      </w:r>
    </w:p>
    <w:p w14:paraId="03AEE7DC" w14:textId="037B4B99" w:rsidR="00FB6BC0" w:rsidRPr="00BB1E15" w:rsidRDefault="00FB6BC0">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При наличии признаков неадекватности исходных данных, приведенных в Приложении №2 к настоящей Методике, Управление контроля рисков готовит мотивированное суждение о применении корректировки исходных данных.</w:t>
      </w:r>
    </w:p>
    <w:p w14:paraId="6801A12F" w14:textId="5399941B" w:rsidR="00393C5A" w:rsidRPr="00BB1E15" w:rsidRDefault="00142634">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Отражение</w:t>
      </w:r>
      <w:r w:rsidR="00520551" w:rsidRPr="00BB1E15">
        <w:rPr>
          <w:rFonts w:ascii="Times New Roman" w:hAnsi="Times New Roman" w:cs="Times New Roman"/>
        </w:rPr>
        <w:t xml:space="preserve"> </w:t>
      </w:r>
      <w:r w:rsidR="00D90635" w:rsidRPr="00BB1E15">
        <w:rPr>
          <w:rFonts w:ascii="Times New Roman" w:hAnsi="Times New Roman" w:cs="Times New Roman"/>
        </w:rPr>
        <w:t xml:space="preserve">в бухгалтерском учете </w:t>
      </w:r>
      <w:r w:rsidR="00520551" w:rsidRPr="00BB1E15">
        <w:rPr>
          <w:rFonts w:ascii="Times New Roman" w:hAnsi="Times New Roman" w:cs="Times New Roman"/>
        </w:rPr>
        <w:t xml:space="preserve">ценных бумаг по справедливой стоимости при первоначальном признании ценных бумаг и при их последующей переоценке осуществляется </w:t>
      </w:r>
      <w:r w:rsidR="00A1790D" w:rsidRPr="00BB1E15">
        <w:rPr>
          <w:rFonts w:ascii="Times New Roman" w:hAnsi="Times New Roman" w:cs="Times New Roman"/>
        </w:rPr>
        <w:t xml:space="preserve">в соответствии с Учетной политикой </w:t>
      </w:r>
      <w:r w:rsidR="00DE4CBD" w:rsidRPr="00BB1E15">
        <w:rPr>
          <w:rFonts w:ascii="Times New Roman" w:hAnsi="Times New Roman" w:cs="Times New Roman"/>
        </w:rPr>
        <w:t>Банка</w:t>
      </w:r>
      <w:r w:rsidR="008522F6" w:rsidRPr="00BB1E15">
        <w:rPr>
          <w:rFonts w:ascii="Times New Roman" w:hAnsi="Times New Roman" w:cs="Times New Roman"/>
        </w:rPr>
        <w:t xml:space="preserve"> </w:t>
      </w:r>
      <w:r w:rsidR="00A1790D" w:rsidRPr="00BB1E15">
        <w:rPr>
          <w:rFonts w:ascii="Times New Roman" w:hAnsi="Times New Roman" w:cs="Times New Roman"/>
        </w:rPr>
        <w:t>и иными внутренними документами Банка</w:t>
      </w:r>
      <w:r w:rsidR="00520551" w:rsidRPr="00BB1E15">
        <w:rPr>
          <w:rFonts w:ascii="Times New Roman" w:hAnsi="Times New Roman" w:cs="Times New Roman"/>
        </w:rPr>
        <w:t>.</w:t>
      </w:r>
      <w:bookmarkStart w:id="2" w:name="_Toc527375591"/>
      <w:bookmarkEnd w:id="1"/>
    </w:p>
    <w:p w14:paraId="2191861B" w14:textId="77777777" w:rsidR="00A1790D" w:rsidRPr="00BB1E15" w:rsidRDefault="00A1790D" w:rsidP="00B62BA5">
      <w:pPr>
        <w:widowControl/>
        <w:tabs>
          <w:tab w:val="left" w:pos="426"/>
        </w:tabs>
        <w:autoSpaceDE w:val="0"/>
        <w:autoSpaceDN w:val="0"/>
        <w:adjustRightInd w:val="0"/>
        <w:jc w:val="both"/>
        <w:rPr>
          <w:rFonts w:ascii="Times New Roman" w:hAnsi="Times New Roman" w:cs="Times New Roman"/>
        </w:rPr>
      </w:pPr>
    </w:p>
    <w:p w14:paraId="66D28137" w14:textId="331DEC59" w:rsidR="00393C5A" w:rsidRPr="00BB1E15" w:rsidRDefault="00393C5A">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Порядок определения справедливой стоимости</w:t>
      </w:r>
      <w:r w:rsidR="0075623E" w:rsidRPr="00BB1E15">
        <w:rPr>
          <w:rFonts w:ascii="Times New Roman" w:hAnsi="Times New Roman" w:cs="Times New Roman"/>
          <w:b/>
        </w:rPr>
        <w:br/>
      </w:r>
      <w:r w:rsidRPr="00BB1E15">
        <w:rPr>
          <w:rFonts w:ascii="Times New Roman" w:hAnsi="Times New Roman" w:cs="Times New Roman"/>
          <w:b/>
        </w:rPr>
        <w:t>ценных бумаг в условиях активного рынка</w:t>
      </w:r>
    </w:p>
    <w:p w14:paraId="34B3F8CB" w14:textId="77777777" w:rsidR="002028CB" w:rsidRPr="00BB1E15" w:rsidRDefault="002028CB" w:rsidP="00B62BA5">
      <w:pPr>
        <w:widowControl/>
        <w:tabs>
          <w:tab w:val="left" w:pos="426"/>
        </w:tabs>
        <w:autoSpaceDE w:val="0"/>
        <w:autoSpaceDN w:val="0"/>
        <w:adjustRightInd w:val="0"/>
        <w:jc w:val="both"/>
        <w:rPr>
          <w:rFonts w:ascii="Times New Roman" w:hAnsi="Times New Roman" w:cs="Times New Roman"/>
        </w:rPr>
      </w:pPr>
    </w:p>
    <w:p w14:paraId="775C471B" w14:textId="77777777" w:rsidR="00393C5A" w:rsidRPr="00BB1E15" w:rsidRDefault="00DD56DB">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 условиях активного рынка справедливая стоимость ценных бумаг определяется на основании наблюдаемых котировок, раскрываемых/публикуемых источниками информации (исходные данные 1 уровня).</w:t>
      </w:r>
    </w:p>
    <w:p w14:paraId="6F492903" w14:textId="77777777" w:rsidR="007A179E" w:rsidRPr="00BB1E15" w:rsidRDefault="00DD56DB">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lastRenderedPageBreak/>
        <w:t>При этом устанавливается следующий приоритет использования котировок (источников информации):</w:t>
      </w:r>
    </w:p>
    <w:p w14:paraId="21520272" w14:textId="77777777" w:rsidR="00393C5A" w:rsidRPr="00BB1E15" w:rsidRDefault="00DD56DB"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xml:space="preserve">– средневзвешенная цена по сделкам, раскрываемая организатором торговли ПАО Московская Биржа на дату, ближайшую к дате осуществления </w:t>
      </w:r>
      <w:r w:rsidR="00681BD2" w:rsidRPr="00BB1E15">
        <w:rPr>
          <w:rFonts w:ascii="Times New Roman" w:hAnsi="Times New Roman" w:cs="Times New Roman"/>
        </w:rPr>
        <w:t>оценки</w:t>
      </w:r>
      <w:r w:rsidRPr="00BB1E15">
        <w:rPr>
          <w:rFonts w:ascii="Times New Roman" w:hAnsi="Times New Roman" w:cs="Times New Roman"/>
        </w:rPr>
        <w:t xml:space="preserve"> из предшествующих ей 30 календарных дней;</w:t>
      </w:r>
    </w:p>
    <w:p w14:paraId="36632F19" w14:textId="199A7DA3" w:rsidR="00256DDC" w:rsidRPr="00BB1E15" w:rsidRDefault="00F57BF7" w:rsidP="00B62BA5">
      <w:pPr>
        <w:widowControl/>
        <w:tabs>
          <w:tab w:val="left" w:pos="426"/>
        </w:tabs>
        <w:autoSpaceDE w:val="0"/>
        <w:autoSpaceDN w:val="0"/>
        <w:adjustRightInd w:val="0"/>
        <w:jc w:val="both"/>
        <w:rPr>
          <w:rFonts w:ascii="Times New Roman" w:hAnsi="Times New Roman" w:cs="Times New Roman"/>
        </w:rPr>
      </w:pPr>
      <w:r w:rsidRPr="00BB1E15">
        <w:rPr>
          <w:rFonts w:ascii="Times New Roman" w:hAnsi="Times New Roman" w:cs="Times New Roman"/>
        </w:rPr>
        <w:t xml:space="preserve">– </w:t>
      </w:r>
      <w:r w:rsidR="00256DDC" w:rsidRPr="00BB1E15">
        <w:rPr>
          <w:rFonts w:ascii="Times New Roman" w:hAnsi="Times New Roman" w:cs="Times New Roman"/>
        </w:rPr>
        <w:t>котировки брокеров, дилеров или иных участников рынка, чьи котировки публично доступны</w:t>
      </w:r>
      <w:r w:rsidR="00805690">
        <w:rPr>
          <w:rFonts w:ascii="Times New Roman" w:hAnsi="Times New Roman" w:cs="Times New Roman"/>
        </w:rPr>
        <w:t>.</w:t>
      </w:r>
    </w:p>
    <w:p w14:paraId="7A46D223" w14:textId="30316AB6" w:rsidR="0019519A" w:rsidRPr="00BB1E15" w:rsidRDefault="0019519A">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 случае если на дату оценки не выполняется хотя бы один из критериев активного рынка, то определение справедливой стоимости ценных бумаг осуществляется на основании исходных данных 2-3 уровня иерархии справедливой стоимости.</w:t>
      </w:r>
    </w:p>
    <w:p w14:paraId="09F88D1E" w14:textId="77777777" w:rsidR="00421ADA" w:rsidRPr="00BB1E15" w:rsidRDefault="00421ADA" w:rsidP="00B62BA5">
      <w:pPr>
        <w:widowControl/>
        <w:tabs>
          <w:tab w:val="left" w:pos="426"/>
        </w:tabs>
        <w:autoSpaceDE w:val="0"/>
        <w:autoSpaceDN w:val="0"/>
        <w:adjustRightInd w:val="0"/>
        <w:jc w:val="both"/>
        <w:rPr>
          <w:rFonts w:ascii="Times New Roman" w:hAnsi="Times New Roman" w:cs="Times New Roman"/>
        </w:rPr>
      </w:pPr>
    </w:p>
    <w:p w14:paraId="1F4A69E1" w14:textId="1E00D89E" w:rsidR="00896555" w:rsidRPr="00BB1E15" w:rsidRDefault="002028CB">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Порядок определения справедливой стоимости</w:t>
      </w:r>
      <w:r w:rsidR="0075623E" w:rsidRPr="00BB1E15">
        <w:rPr>
          <w:rFonts w:ascii="Times New Roman" w:hAnsi="Times New Roman" w:cs="Times New Roman"/>
          <w:b/>
        </w:rPr>
        <w:br/>
      </w:r>
      <w:r w:rsidRPr="00BB1E15">
        <w:rPr>
          <w:rFonts w:ascii="Times New Roman" w:hAnsi="Times New Roman" w:cs="Times New Roman"/>
          <w:b/>
        </w:rPr>
        <w:t>в условиях отсутствия активного рынка</w:t>
      </w:r>
    </w:p>
    <w:p w14:paraId="04CC9623" w14:textId="77777777" w:rsidR="002028CB" w:rsidRPr="00BB1E15" w:rsidRDefault="002028CB" w:rsidP="00B62BA5">
      <w:pPr>
        <w:widowControl/>
        <w:tabs>
          <w:tab w:val="left" w:pos="426"/>
        </w:tabs>
        <w:autoSpaceDE w:val="0"/>
        <w:autoSpaceDN w:val="0"/>
        <w:adjustRightInd w:val="0"/>
        <w:jc w:val="both"/>
        <w:rPr>
          <w:rFonts w:ascii="Times New Roman" w:hAnsi="Times New Roman" w:cs="Times New Roman"/>
        </w:rPr>
      </w:pPr>
    </w:p>
    <w:p w14:paraId="37A87570" w14:textId="562A9D49" w:rsidR="00ED0CD3" w:rsidRPr="00BB1E15" w:rsidRDefault="00ED0CD3">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В случае отсутствия активного рынка по оцениваемой ценной бумаге по причине невыполнения </w:t>
      </w:r>
      <w:r w:rsidR="002028CB" w:rsidRPr="00BB1E15">
        <w:rPr>
          <w:rFonts w:ascii="Times New Roman" w:hAnsi="Times New Roman" w:cs="Times New Roman"/>
        </w:rPr>
        <w:t>определенного</w:t>
      </w:r>
      <w:r w:rsidRPr="00BB1E15">
        <w:rPr>
          <w:rFonts w:ascii="Times New Roman" w:hAnsi="Times New Roman" w:cs="Times New Roman"/>
        </w:rPr>
        <w:t xml:space="preserve"> критери</w:t>
      </w:r>
      <w:r w:rsidR="002028CB" w:rsidRPr="00BB1E15">
        <w:rPr>
          <w:rFonts w:ascii="Times New Roman" w:hAnsi="Times New Roman" w:cs="Times New Roman"/>
        </w:rPr>
        <w:t>я</w:t>
      </w:r>
      <w:r w:rsidRPr="00BB1E15">
        <w:rPr>
          <w:rFonts w:ascii="Times New Roman" w:hAnsi="Times New Roman" w:cs="Times New Roman"/>
        </w:rPr>
        <w:t xml:space="preserve"> активного рынка, определение справедливой стоимости ценной бумаги осуществляется путем применения к наблюдаемым исходным данным корректировки, учитывающей низкую активность рынка, порядок применения которой изложен в п. </w:t>
      </w:r>
      <w:r w:rsidR="00A801B7" w:rsidRPr="00BB1E15">
        <w:rPr>
          <w:rFonts w:ascii="Times New Roman" w:hAnsi="Times New Roman" w:cs="Times New Roman"/>
        </w:rPr>
        <w:t>8.3</w:t>
      </w:r>
      <w:r w:rsidRPr="00BB1E15">
        <w:rPr>
          <w:rFonts w:ascii="Times New Roman" w:hAnsi="Times New Roman" w:cs="Times New Roman"/>
        </w:rPr>
        <w:t xml:space="preserve"> и Приложении №2 к настоящей Методике.</w:t>
      </w:r>
    </w:p>
    <w:p w14:paraId="54AE106B" w14:textId="583DC28F" w:rsidR="0005140C" w:rsidRPr="00BB1E15" w:rsidRDefault="0005140C">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В случае отсутствия активного рынка по оцениваемой ценной бумаге определение справедливой стоимости ценной бумаги осуществляется путем </w:t>
      </w:r>
      <w:r w:rsidR="00124194" w:rsidRPr="00BB1E15">
        <w:rPr>
          <w:rFonts w:ascii="Times New Roman" w:hAnsi="Times New Roman" w:cs="Times New Roman"/>
        </w:rPr>
        <w:t>использования рыночного метода оценки. В случае невозможности использования рыночного метода оценки применяется доходный метод, далее затратный метод оценки.</w:t>
      </w:r>
    </w:p>
    <w:p w14:paraId="34B8C4B2" w14:textId="545DC65C" w:rsidR="00124194" w:rsidRPr="00BB1E15" w:rsidRDefault="00124194">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Рыночный метод определения справедливой стоимости основан на использовании информации о справедливой стоимости аналогичных ценных бумаг</w:t>
      </w:r>
      <w:r w:rsidR="0019519A" w:rsidRPr="00BB1E15">
        <w:rPr>
          <w:rFonts w:ascii="Times New Roman" w:hAnsi="Times New Roman" w:cs="Times New Roman"/>
        </w:rPr>
        <w:t xml:space="preserve">, рынок по которым является </w:t>
      </w:r>
      <w:r w:rsidR="009E1C96" w:rsidRPr="00BB1E15">
        <w:rPr>
          <w:rFonts w:ascii="Times New Roman" w:hAnsi="Times New Roman" w:cs="Times New Roman"/>
        </w:rPr>
        <w:t>активным согласно критериями настоящей Методики,</w:t>
      </w:r>
      <w:r w:rsidRPr="00BB1E15">
        <w:rPr>
          <w:rFonts w:ascii="Times New Roman" w:hAnsi="Times New Roman" w:cs="Times New Roman"/>
        </w:rPr>
        <w:t xml:space="preserve"> при условии сопоставимости следующих </w:t>
      </w:r>
      <w:r w:rsidR="002B5343" w:rsidRPr="00BB1E15">
        <w:rPr>
          <w:rFonts w:ascii="Times New Roman" w:hAnsi="Times New Roman" w:cs="Times New Roman"/>
        </w:rPr>
        <w:t xml:space="preserve">качественных и количественных </w:t>
      </w:r>
      <w:r w:rsidRPr="00BB1E15">
        <w:rPr>
          <w:rFonts w:ascii="Times New Roman" w:hAnsi="Times New Roman" w:cs="Times New Roman"/>
        </w:rPr>
        <w:t>параметров:</w:t>
      </w:r>
    </w:p>
    <w:p w14:paraId="2F5EA2C1" w14:textId="56475FA5" w:rsidR="00124194" w:rsidRPr="00BB1E15" w:rsidRDefault="00A47C58">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оцениваемые и аналогичные ценные бумаги относятся к одному </w:t>
      </w:r>
      <w:r w:rsidR="004D0EEB" w:rsidRPr="00BB1E15">
        <w:rPr>
          <w:rFonts w:ascii="Times New Roman" w:hAnsi="Times New Roman" w:cs="Times New Roman"/>
          <w:lang w:bidi="ar-SA"/>
        </w:rPr>
        <w:t>в</w:t>
      </w:r>
      <w:r w:rsidR="00124194" w:rsidRPr="00BB1E15">
        <w:rPr>
          <w:rFonts w:ascii="Times New Roman" w:hAnsi="Times New Roman" w:cs="Times New Roman"/>
          <w:lang w:bidi="ar-SA"/>
        </w:rPr>
        <w:t>ид</w:t>
      </w:r>
      <w:r w:rsidRPr="00BB1E15">
        <w:rPr>
          <w:rFonts w:ascii="Times New Roman" w:hAnsi="Times New Roman" w:cs="Times New Roman"/>
          <w:lang w:bidi="ar-SA"/>
        </w:rPr>
        <w:t>у</w:t>
      </w:r>
      <w:r w:rsidR="00124194" w:rsidRPr="00BB1E15">
        <w:rPr>
          <w:rFonts w:ascii="Times New Roman" w:hAnsi="Times New Roman" w:cs="Times New Roman"/>
          <w:lang w:bidi="ar-SA"/>
        </w:rPr>
        <w:t xml:space="preserve"> ценн</w:t>
      </w:r>
      <w:r w:rsidRPr="00BB1E15">
        <w:rPr>
          <w:rFonts w:ascii="Times New Roman" w:hAnsi="Times New Roman" w:cs="Times New Roman"/>
          <w:lang w:bidi="ar-SA"/>
        </w:rPr>
        <w:t>ых</w:t>
      </w:r>
      <w:r w:rsidR="00124194" w:rsidRPr="00BB1E15">
        <w:rPr>
          <w:rFonts w:ascii="Times New Roman" w:hAnsi="Times New Roman" w:cs="Times New Roman"/>
          <w:lang w:bidi="ar-SA"/>
        </w:rPr>
        <w:t xml:space="preserve"> бумаг;</w:t>
      </w:r>
    </w:p>
    <w:p w14:paraId="5C968188" w14:textId="0B2D131D" w:rsidR="00124194" w:rsidRPr="00BB1E15" w:rsidRDefault="00A47C58">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оцениваемые и аналогичные ценные бумаги номинированы </w:t>
      </w:r>
      <w:r w:rsidR="007A43FF" w:rsidRPr="00BB1E15">
        <w:rPr>
          <w:rFonts w:ascii="Times New Roman" w:hAnsi="Times New Roman" w:cs="Times New Roman"/>
          <w:lang w:bidi="ar-SA"/>
        </w:rPr>
        <w:t>в</w:t>
      </w:r>
      <w:r w:rsidR="00B43F0A" w:rsidRPr="00BB1E15">
        <w:rPr>
          <w:rFonts w:ascii="Times New Roman" w:hAnsi="Times New Roman" w:cs="Times New Roman"/>
          <w:lang w:bidi="ar-SA"/>
        </w:rPr>
        <w:t xml:space="preserve"> </w:t>
      </w:r>
      <w:r w:rsidR="00FC1AB8" w:rsidRPr="00BB1E15">
        <w:rPr>
          <w:rFonts w:ascii="Times New Roman" w:hAnsi="Times New Roman" w:cs="Times New Roman"/>
          <w:lang w:bidi="ar-SA"/>
        </w:rPr>
        <w:t>одной</w:t>
      </w:r>
      <w:r w:rsidR="007A43FF" w:rsidRPr="00BB1E15">
        <w:rPr>
          <w:rFonts w:ascii="Times New Roman" w:hAnsi="Times New Roman" w:cs="Times New Roman"/>
          <w:lang w:bidi="ar-SA"/>
        </w:rPr>
        <w:t xml:space="preserve"> </w:t>
      </w:r>
      <w:r w:rsidR="004D0EEB" w:rsidRPr="00BB1E15">
        <w:rPr>
          <w:rFonts w:ascii="Times New Roman" w:hAnsi="Times New Roman" w:cs="Times New Roman"/>
          <w:lang w:bidi="ar-SA"/>
        </w:rPr>
        <w:t>в</w:t>
      </w:r>
      <w:r w:rsidR="00124194" w:rsidRPr="00BB1E15">
        <w:rPr>
          <w:rFonts w:ascii="Times New Roman" w:hAnsi="Times New Roman" w:cs="Times New Roman"/>
          <w:lang w:bidi="ar-SA"/>
        </w:rPr>
        <w:t>алют</w:t>
      </w:r>
      <w:r w:rsidR="007A43FF" w:rsidRPr="00BB1E15">
        <w:rPr>
          <w:rFonts w:ascii="Times New Roman" w:hAnsi="Times New Roman" w:cs="Times New Roman"/>
          <w:lang w:bidi="ar-SA"/>
        </w:rPr>
        <w:t>е</w:t>
      </w:r>
      <w:r w:rsidR="00124194" w:rsidRPr="00BB1E15">
        <w:rPr>
          <w:rFonts w:ascii="Times New Roman" w:hAnsi="Times New Roman" w:cs="Times New Roman"/>
          <w:lang w:bidi="ar-SA"/>
        </w:rPr>
        <w:t>;</w:t>
      </w:r>
    </w:p>
    <w:p w14:paraId="14F419D2" w14:textId="56675C28" w:rsidR="00B43F0A" w:rsidRPr="00BB1E15" w:rsidRDefault="007A43FF">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оцениваемые и аналогичные ценные бумаги выпущены одним эмитентом, либо разными эмитентами, осуществляющими деятельность в одной отрасли;</w:t>
      </w:r>
    </w:p>
    <w:p w14:paraId="738F57D7" w14:textId="5B42EEAA" w:rsidR="00124194" w:rsidRPr="00BB1E15" w:rsidRDefault="00754C4E">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оцениваемые и аналогичные ценные бумаги имеют </w:t>
      </w:r>
      <w:r w:rsidR="00FC1AB8" w:rsidRPr="00BB1E15">
        <w:rPr>
          <w:rFonts w:ascii="Times New Roman" w:hAnsi="Times New Roman" w:cs="Times New Roman"/>
          <w:lang w:bidi="ar-SA"/>
        </w:rPr>
        <w:t>кредитные</w:t>
      </w:r>
      <w:r w:rsidRPr="00BB1E15">
        <w:rPr>
          <w:rFonts w:ascii="Times New Roman" w:hAnsi="Times New Roman" w:cs="Times New Roman"/>
          <w:lang w:bidi="ar-SA"/>
        </w:rPr>
        <w:t xml:space="preserve"> рейтинг</w:t>
      </w:r>
      <w:r w:rsidR="00FC1AB8" w:rsidRPr="00BB1E15">
        <w:rPr>
          <w:rFonts w:ascii="Times New Roman" w:hAnsi="Times New Roman" w:cs="Times New Roman"/>
          <w:lang w:bidi="ar-SA"/>
        </w:rPr>
        <w:t>и</w:t>
      </w:r>
      <w:r w:rsidRPr="00BB1E15">
        <w:rPr>
          <w:rFonts w:ascii="Times New Roman" w:hAnsi="Times New Roman" w:cs="Times New Roman"/>
          <w:lang w:bidi="ar-SA"/>
        </w:rPr>
        <w:t xml:space="preserve"> </w:t>
      </w:r>
      <w:r w:rsidR="00124194" w:rsidRPr="00BB1E15">
        <w:rPr>
          <w:rFonts w:ascii="Times New Roman" w:hAnsi="Times New Roman" w:cs="Times New Roman"/>
          <w:lang w:bidi="ar-SA"/>
        </w:rPr>
        <w:t>эмитента</w:t>
      </w:r>
      <w:r w:rsidR="00EF1C94" w:rsidRPr="00BB1E15">
        <w:rPr>
          <w:rFonts w:ascii="Times New Roman" w:hAnsi="Times New Roman" w:cs="Times New Roman"/>
          <w:lang w:bidi="ar-SA"/>
        </w:rPr>
        <w:t xml:space="preserve">/ </w:t>
      </w:r>
      <w:r w:rsidR="00B43F0A" w:rsidRPr="00BB1E15">
        <w:rPr>
          <w:rFonts w:ascii="Times New Roman" w:hAnsi="Times New Roman" w:cs="Times New Roman"/>
          <w:lang w:bidi="ar-SA"/>
        </w:rPr>
        <w:t>выпуска ценных бумаг</w:t>
      </w:r>
      <w:r w:rsidR="00FC1AB8" w:rsidRPr="00BB1E15">
        <w:rPr>
          <w:rFonts w:ascii="Times New Roman" w:hAnsi="Times New Roman" w:cs="Times New Roman"/>
          <w:lang w:bidi="ar-SA"/>
        </w:rPr>
        <w:t>, отличающиеся не более чем на 2 ступени</w:t>
      </w:r>
      <w:r w:rsidR="00124194" w:rsidRPr="00BB1E15">
        <w:rPr>
          <w:rFonts w:ascii="Times New Roman" w:hAnsi="Times New Roman" w:cs="Times New Roman"/>
          <w:lang w:bidi="ar-SA"/>
        </w:rPr>
        <w:t>;</w:t>
      </w:r>
    </w:p>
    <w:p w14:paraId="5D29C90B" w14:textId="31CAD344" w:rsidR="00124194" w:rsidRPr="00BB1E15" w:rsidRDefault="00124194">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срок </w:t>
      </w:r>
      <w:r w:rsidR="007C71C8" w:rsidRPr="00BB1E15">
        <w:rPr>
          <w:rFonts w:ascii="Times New Roman" w:hAnsi="Times New Roman" w:cs="Times New Roman"/>
          <w:lang w:bidi="ar-SA"/>
        </w:rPr>
        <w:t xml:space="preserve">до </w:t>
      </w:r>
      <w:r w:rsidRPr="00BB1E15">
        <w:rPr>
          <w:rFonts w:ascii="Times New Roman" w:hAnsi="Times New Roman" w:cs="Times New Roman"/>
          <w:lang w:bidi="ar-SA"/>
        </w:rPr>
        <w:t xml:space="preserve">погашения </w:t>
      </w:r>
      <w:r w:rsidR="007C71C8" w:rsidRPr="00BB1E15">
        <w:rPr>
          <w:rFonts w:ascii="Times New Roman" w:hAnsi="Times New Roman" w:cs="Times New Roman"/>
          <w:lang w:bidi="ar-SA"/>
        </w:rPr>
        <w:t xml:space="preserve">оцениваемых ценных бумаг отличается от срока до погашения аналогичных ценных бумаг не более чем на </w:t>
      </w:r>
      <w:r w:rsidR="00FC1AB8" w:rsidRPr="00BB1E15">
        <w:rPr>
          <w:rFonts w:ascii="Times New Roman" w:hAnsi="Times New Roman" w:cs="Times New Roman"/>
          <w:lang w:bidi="ar-SA"/>
        </w:rPr>
        <w:t>1 год</w:t>
      </w:r>
      <w:r w:rsidRPr="00BB1E15">
        <w:rPr>
          <w:rFonts w:ascii="Times New Roman" w:hAnsi="Times New Roman" w:cs="Times New Roman"/>
          <w:lang w:bidi="ar-SA"/>
        </w:rPr>
        <w:t>;</w:t>
      </w:r>
    </w:p>
    <w:p w14:paraId="2712813E" w14:textId="4D179392" w:rsidR="007C71C8" w:rsidRPr="00BB1E15" w:rsidRDefault="00EA74AF">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периодичность выпл</w:t>
      </w:r>
      <w:r w:rsidR="007C71C8" w:rsidRPr="00BB1E15">
        <w:rPr>
          <w:rFonts w:ascii="Times New Roman" w:hAnsi="Times New Roman" w:cs="Times New Roman"/>
          <w:lang w:bidi="ar-SA"/>
        </w:rPr>
        <w:t xml:space="preserve">аты купонного дохода оцениваемых ценных бумаг </w:t>
      </w:r>
      <w:r w:rsidR="00851E46" w:rsidRPr="00BB1E15">
        <w:rPr>
          <w:rFonts w:ascii="Times New Roman" w:hAnsi="Times New Roman" w:cs="Times New Roman"/>
          <w:lang w:bidi="ar-SA"/>
        </w:rPr>
        <w:t>отличается от периодичности выплаты купонного дохода аналогичных ценных бумаг не более чем на 10%.</w:t>
      </w:r>
    </w:p>
    <w:p w14:paraId="0BF4DDA0" w14:textId="1C8526E7" w:rsidR="00124194" w:rsidRPr="00BB1E15" w:rsidRDefault="004D0EEB">
      <w:pPr>
        <w:pStyle w:val="a8"/>
        <w:widowControl/>
        <w:numPr>
          <w:ilvl w:val="0"/>
          <w:numId w:val="4"/>
        </w:numPr>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и</w:t>
      </w:r>
      <w:r w:rsidR="00124194" w:rsidRPr="00BB1E15">
        <w:rPr>
          <w:rFonts w:ascii="Times New Roman" w:hAnsi="Times New Roman" w:cs="Times New Roman"/>
          <w:lang w:bidi="ar-SA"/>
        </w:rPr>
        <w:t>ные существенные параметры.</w:t>
      </w:r>
    </w:p>
    <w:p w14:paraId="4BE6FC25" w14:textId="77777777" w:rsidR="00124194" w:rsidRPr="00BB1E15" w:rsidRDefault="00124194"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rPr>
        <w:t>Для определения аналогичных ценных бумаг Банк применяет мотивированное суждение, сформированное Управлением контроля рисков.</w:t>
      </w:r>
    </w:p>
    <w:p w14:paraId="7763FA0B" w14:textId="62D708D0" w:rsidR="00124194" w:rsidRPr="00BB1E15" w:rsidRDefault="00124194">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Доходный </w:t>
      </w:r>
      <w:r w:rsidR="000361BF" w:rsidRPr="00BB1E15">
        <w:rPr>
          <w:rFonts w:ascii="Times New Roman" w:hAnsi="Times New Roman" w:cs="Times New Roman"/>
        </w:rPr>
        <w:t xml:space="preserve">метод </w:t>
      </w:r>
      <w:r w:rsidRPr="00BB1E15">
        <w:rPr>
          <w:rFonts w:ascii="Times New Roman" w:hAnsi="Times New Roman" w:cs="Times New Roman"/>
        </w:rPr>
        <w:t>заключается в определении стоимости объекта оценки активов, основанных на расчетах ожидаемых доходов объекта оценки, скорректированных на временную стоимость денег и уровень риска инвестирования. При оценке стоимости акций и облигаций компании доход рассматривается как основной фактор, определяющий величину стоимости объекта. При этом имеют значение продолжительность периода получения возможного дохода, уровень сопутствующих рисков.</w:t>
      </w:r>
    </w:p>
    <w:p w14:paraId="517C79B2" w14:textId="3B321DBF" w:rsidR="00124194" w:rsidRPr="00BB1E15" w:rsidRDefault="00124194"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Расчет справедливой стоимости ценной бумаги производится путём умножения всех денежных доходов, связанных с инвестицией на коэффициент дисконтирования и суммирования полученных величин. Коэффициент дисконтирования определяется с учетом ставки дисконтирования, в качестве которой может использоваться ставка по инструменту с сопоставимым уровнем риска.</w:t>
      </w:r>
    </w:p>
    <w:p w14:paraId="2F558BB0" w14:textId="0CABFA36" w:rsidR="00124194" w:rsidRPr="00BB1E15" w:rsidRDefault="00124194" w:rsidP="00B62BA5">
      <w:pPr>
        <w:widowControl/>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Формула для вычисления справедливой стоимости облигаций:</w:t>
      </w:r>
    </w:p>
    <w:p w14:paraId="7FDCB999" w14:textId="77777777" w:rsidR="00417690" w:rsidRPr="006C5176" w:rsidRDefault="00417690" w:rsidP="00B62BA5">
      <w:pPr>
        <w:widowControl/>
        <w:autoSpaceDE w:val="0"/>
        <w:autoSpaceDN w:val="0"/>
        <w:adjustRightInd w:val="0"/>
        <w:rPr>
          <w:rFonts w:ascii="Times New Roman" w:hAnsi="Times New Roman" w:cs="Times New Roman"/>
          <w:sz w:val="20"/>
          <w:szCs w:val="20"/>
          <w:lang w:bidi="ar-SA"/>
        </w:rPr>
      </w:pPr>
    </w:p>
    <w:p w14:paraId="51C91A8B" w14:textId="77777777" w:rsidR="00124194" w:rsidRPr="006C5176" w:rsidRDefault="00417690" w:rsidP="00B62BA5">
      <w:pPr>
        <w:widowControl/>
        <w:autoSpaceDE w:val="0"/>
        <w:autoSpaceDN w:val="0"/>
        <w:adjustRightInd w:val="0"/>
        <w:jc w:val="center"/>
        <w:rPr>
          <w:rFonts w:ascii="Times New Roman" w:hAnsi="Times New Roman" w:cs="Times New Roman"/>
          <w:sz w:val="20"/>
          <w:szCs w:val="20"/>
          <w:lang w:bidi="ar-SA"/>
        </w:rPr>
      </w:pPr>
      <m:oMath>
        <m:r>
          <w:rPr>
            <w:rFonts w:ascii="Cambria Math" w:hAnsi="Cambria Math" w:cs="Times New Roman"/>
            <w:sz w:val="20"/>
            <w:szCs w:val="20"/>
            <w:lang w:bidi="ar-SA"/>
          </w:rPr>
          <m:t>СС=</m:t>
        </m:r>
        <m:f>
          <m:fPr>
            <m:ctrlPr>
              <w:rPr>
                <w:rFonts w:ascii="Cambria Math" w:hAnsi="Cambria Math" w:cs="Times New Roman"/>
                <w:i/>
                <w:sz w:val="20"/>
                <w:szCs w:val="20"/>
                <w:lang w:val="en-US" w:bidi="ar-SA"/>
              </w:rPr>
            </m:ctrlPr>
          </m:fPr>
          <m:num>
            <m:r>
              <w:rPr>
                <w:rFonts w:ascii="Cambria Math" w:hAnsi="Cambria Math" w:cs="Times New Roman"/>
                <w:sz w:val="20"/>
                <w:szCs w:val="20"/>
                <w:lang w:val="en-US" w:bidi="ar-SA"/>
              </w:rPr>
              <m:t>CF</m:t>
            </m:r>
            <m:r>
              <w:rPr>
                <w:rFonts w:ascii="Cambria Math" w:hAnsi="Cambria Math" w:cs="Times New Roman"/>
                <w:sz w:val="20"/>
                <w:szCs w:val="20"/>
                <w:lang w:bidi="ar-SA"/>
              </w:rPr>
              <m:t>1</m:t>
            </m:r>
          </m:num>
          <m:den>
            <m:r>
              <w:rPr>
                <w:rFonts w:ascii="Cambria Math" w:hAnsi="Cambria Math" w:cs="Times New Roman"/>
                <w:sz w:val="20"/>
                <w:szCs w:val="20"/>
                <w:lang w:bidi="ar-SA"/>
              </w:rPr>
              <m:t>1+</m:t>
            </m:r>
            <m:r>
              <w:rPr>
                <w:rFonts w:ascii="Cambria Math" w:hAnsi="Cambria Math" w:cs="Times New Roman"/>
                <w:sz w:val="20"/>
                <w:szCs w:val="20"/>
                <w:lang w:val="en-US" w:bidi="ar-SA"/>
              </w:rPr>
              <m:t>r</m:t>
            </m:r>
          </m:den>
        </m:f>
        <m:r>
          <w:rPr>
            <w:rFonts w:ascii="Cambria Math" w:hAnsi="Cambria Math" w:cs="Times New Roman"/>
            <w:sz w:val="20"/>
            <w:szCs w:val="20"/>
            <w:lang w:bidi="ar-SA"/>
          </w:rPr>
          <m:t>+</m:t>
        </m:r>
        <m:f>
          <m:fPr>
            <m:ctrlPr>
              <w:rPr>
                <w:rFonts w:ascii="Cambria Math" w:hAnsi="Cambria Math" w:cs="Times New Roman"/>
                <w:i/>
                <w:sz w:val="20"/>
                <w:szCs w:val="20"/>
                <w:lang w:val="en-US" w:bidi="ar-SA"/>
              </w:rPr>
            </m:ctrlPr>
          </m:fPr>
          <m:num>
            <m:r>
              <w:rPr>
                <w:rFonts w:ascii="Cambria Math" w:hAnsi="Cambria Math" w:cs="Times New Roman"/>
                <w:sz w:val="20"/>
                <w:szCs w:val="20"/>
                <w:lang w:val="en-US" w:bidi="ar-SA"/>
              </w:rPr>
              <m:t>CF</m:t>
            </m:r>
            <m:r>
              <w:rPr>
                <w:rFonts w:ascii="Cambria Math" w:hAnsi="Cambria Math" w:cs="Times New Roman"/>
                <w:sz w:val="20"/>
                <w:szCs w:val="20"/>
                <w:lang w:bidi="ar-SA"/>
              </w:rPr>
              <m:t>2</m:t>
            </m:r>
          </m:num>
          <m:den>
            <m:sSup>
              <m:sSupPr>
                <m:ctrlPr>
                  <w:rPr>
                    <w:rFonts w:ascii="Cambria Math" w:hAnsi="Cambria Math" w:cs="Times New Roman"/>
                    <w:i/>
                    <w:sz w:val="20"/>
                    <w:szCs w:val="20"/>
                    <w:lang w:val="en-US" w:bidi="ar-SA"/>
                  </w:rPr>
                </m:ctrlPr>
              </m:sSupPr>
              <m:e>
                <m:r>
                  <w:rPr>
                    <w:rFonts w:ascii="Cambria Math" w:hAnsi="Cambria Math" w:cs="Times New Roman"/>
                    <w:sz w:val="20"/>
                    <w:szCs w:val="20"/>
                    <w:lang w:bidi="ar-SA"/>
                  </w:rPr>
                  <m:t>(1+</m:t>
                </m:r>
                <m:r>
                  <w:rPr>
                    <w:rFonts w:ascii="Cambria Math" w:hAnsi="Cambria Math" w:cs="Times New Roman"/>
                    <w:sz w:val="20"/>
                    <w:szCs w:val="20"/>
                    <w:lang w:val="en-US" w:bidi="ar-SA"/>
                  </w:rPr>
                  <m:t>r</m:t>
                </m:r>
                <m:r>
                  <w:rPr>
                    <w:rFonts w:ascii="Cambria Math" w:hAnsi="Cambria Math" w:cs="Times New Roman"/>
                    <w:sz w:val="20"/>
                    <w:szCs w:val="20"/>
                    <w:lang w:bidi="ar-SA"/>
                  </w:rPr>
                  <m:t>)</m:t>
                </m:r>
              </m:e>
              <m:sup>
                <m:r>
                  <w:rPr>
                    <w:rFonts w:ascii="Cambria Math" w:hAnsi="Cambria Math" w:cs="Times New Roman"/>
                    <w:sz w:val="20"/>
                    <w:szCs w:val="20"/>
                    <w:lang w:bidi="ar-SA"/>
                  </w:rPr>
                  <m:t>2</m:t>
                </m:r>
              </m:sup>
            </m:sSup>
          </m:den>
        </m:f>
        <m:r>
          <w:rPr>
            <w:rFonts w:ascii="Cambria Math" w:hAnsi="Cambria Math" w:cs="Times New Roman"/>
            <w:sz w:val="20"/>
            <w:szCs w:val="20"/>
            <w:lang w:bidi="ar-SA"/>
          </w:rPr>
          <m:t>+…</m:t>
        </m:r>
        <m:f>
          <m:fPr>
            <m:ctrlPr>
              <w:rPr>
                <w:rFonts w:ascii="Cambria Math" w:hAnsi="Cambria Math" w:cs="Times New Roman"/>
                <w:i/>
                <w:sz w:val="20"/>
                <w:szCs w:val="20"/>
                <w:lang w:val="en-US" w:bidi="ar-SA"/>
              </w:rPr>
            </m:ctrlPr>
          </m:fPr>
          <m:num>
            <m:r>
              <w:rPr>
                <w:rFonts w:ascii="Cambria Math" w:hAnsi="Cambria Math" w:cs="Times New Roman"/>
                <w:sz w:val="20"/>
                <w:szCs w:val="20"/>
                <w:lang w:val="en-US" w:bidi="ar-SA"/>
              </w:rPr>
              <m:t>CFi</m:t>
            </m:r>
          </m:num>
          <m:den>
            <m:sSup>
              <m:sSupPr>
                <m:ctrlPr>
                  <w:rPr>
                    <w:rFonts w:ascii="Cambria Math" w:hAnsi="Cambria Math" w:cs="Times New Roman"/>
                    <w:i/>
                    <w:sz w:val="20"/>
                    <w:szCs w:val="20"/>
                    <w:lang w:val="en-US" w:bidi="ar-SA"/>
                  </w:rPr>
                </m:ctrlPr>
              </m:sSupPr>
              <m:e>
                <m:r>
                  <w:rPr>
                    <w:rFonts w:ascii="Cambria Math" w:hAnsi="Cambria Math" w:cs="Times New Roman"/>
                    <w:sz w:val="20"/>
                    <w:szCs w:val="20"/>
                    <w:lang w:bidi="ar-SA"/>
                  </w:rPr>
                  <m:t>(1+</m:t>
                </m:r>
                <m:r>
                  <w:rPr>
                    <w:rFonts w:ascii="Cambria Math" w:hAnsi="Cambria Math" w:cs="Times New Roman"/>
                    <w:sz w:val="20"/>
                    <w:szCs w:val="20"/>
                    <w:lang w:val="en-US" w:bidi="ar-SA"/>
                  </w:rPr>
                  <m:t>r</m:t>
                </m:r>
                <m:r>
                  <w:rPr>
                    <w:rFonts w:ascii="Cambria Math" w:hAnsi="Cambria Math" w:cs="Times New Roman"/>
                    <w:sz w:val="20"/>
                    <w:szCs w:val="20"/>
                    <w:lang w:bidi="ar-SA"/>
                  </w:rPr>
                  <m:t>)</m:t>
                </m:r>
              </m:e>
              <m:sup>
                <m:r>
                  <w:rPr>
                    <w:rFonts w:ascii="Cambria Math" w:hAnsi="Cambria Math" w:cs="Times New Roman"/>
                    <w:sz w:val="20"/>
                    <w:szCs w:val="20"/>
                    <w:lang w:val="en-US" w:bidi="ar-SA"/>
                  </w:rPr>
                  <m:t>i</m:t>
                </m:r>
              </m:sup>
            </m:sSup>
          </m:den>
        </m:f>
      </m:oMath>
      <w:r w:rsidRPr="006C5176">
        <w:rPr>
          <w:rFonts w:ascii="Times New Roman" w:hAnsi="Times New Roman" w:cs="Times New Roman"/>
          <w:sz w:val="20"/>
          <w:szCs w:val="20"/>
          <w:lang w:bidi="ar-SA"/>
        </w:rPr>
        <w:t>, где</w:t>
      </w:r>
    </w:p>
    <w:p w14:paraId="2B0C18FE" w14:textId="77777777" w:rsidR="00417690" w:rsidRPr="00BB1E15" w:rsidRDefault="00417690" w:rsidP="00B62BA5">
      <w:pPr>
        <w:widowControl/>
        <w:autoSpaceDE w:val="0"/>
        <w:autoSpaceDN w:val="0"/>
        <w:adjustRightInd w:val="0"/>
        <w:rPr>
          <w:rFonts w:ascii="Times New Roman" w:hAnsi="Times New Roman" w:cs="Times New Roman"/>
          <w:lang w:bidi="ar-SA"/>
        </w:rPr>
      </w:pPr>
    </w:p>
    <w:p w14:paraId="0A27A197" w14:textId="77777777" w:rsidR="00124194" w:rsidRPr="00BB1E15" w:rsidRDefault="00124194" w:rsidP="00B62BA5">
      <w:pPr>
        <w:widowControl/>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lastRenderedPageBreak/>
        <w:t xml:space="preserve">СF1, СF2, СFi – промежуточные платежи по купону, амортизации долга и прочим платежам, предусмотренным выпуском ценной бумаги; </w:t>
      </w:r>
    </w:p>
    <w:p w14:paraId="2D6EE51D" w14:textId="77777777" w:rsidR="00124194" w:rsidRPr="00BB1E15" w:rsidRDefault="00124194" w:rsidP="00B62BA5">
      <w:pPr>
        <w:widowControl/>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r – применимая ставка дисконтирования с учетом риска инвестирования; </w:t>
      </w:r>
    </w:p>
    <w:p w14:paraId="12585969" w14:textId="77777777" w:rsidR="00124194" w:rsidRPr="00BB1E15" w:rsidRDefault="00124194" w:rsidP="00B62BA5">
      <w:pPr>
        <w:widowControl/>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i – дата последнего платежа. </w:t>
      </w:r>
    </w:p>
    <w:p w14:paraId="626ADCBF" w14:textId="77777777" w:rsidR="00124194" w:rsidRPr="00BB1E15" w:rsidRDefault="00124194" w:rsidP="00B62BA5">
      <w:pPr>
        <w:widowControl/>
        <w:autoSpaceDE w:val="0"/>
        <w:autoSpaceDN w:val="0"/>
        <w:adjustRightInd w:val="0"/>
        <w:jc w:val="both"/>
        <w:rPr>
          <w:rFonts w:ascii="Times New Roman" w:hAnsi="Times New Roman" w:cs="Times New Roman"/>
          <w:lang w:bidi="ar-SA"/>
        </w:rPr>
      </w:pPr>
      <w:r w:rsidRPr="00BB1E15">
        <w:rPr>
          <w:rFonts w:ascii="Times New Roman" w:hAnsi="Times New Roman" w:cs="Times New Roman"/>
          <w:lang w:bidi="ar-SA"/>
        </w:rPr>
        <w:t xml:space="preserve">Формула для вычисления справедливой стоимости привилегированных акций с фиксированной ставкой дивидендов: </w:t>
      </w:r>
    </w:p>
    <w:p w14:paraId="38A36FCB" w14:textId="77777777" w:rsidR="00417690" w:rsidRPr="006C5176" w:rsidRDefault="00417690" w:rsidP="00B62BA5">
      <w:pPr>
        <w:widowControl/>
        <w:autoSpaceDE w:val="0"/>
        <w:autoSpaceDN w:val="0"/>
        <w:adjustRightInd w:val="0"/>
        <w:rPr>
          <w:rFonts w:ascii="Times New Roman" w:hAnsi="Times New Roman" w:cs="Times New Roman"/>
          <w:sz w:val="20"/>
          <w:szCs w:val="20"/>
          <w:lang w:bidi="ar-SA"/>
        </w:rPr>
      </w:pPr>
    </w:p>
    <w:p w14:paraId="71048181" w14:textId="77777777" w:rsidR="00417690" w:rsidRPr="006C5176" w:rsidRDefault="00417690" w:rsidP="00B62BA5">
      <w:pPr>
        <w:widowControl/>
        <w:autoSpaceDE w:val="0"/>
        <w:autoSpaceDN w:val="0"/>
        <w:adjustRightInd w:val="0"/>
        <w:jc w:val="center"/>
        <w:rPr>
          <w:rFonts w:ascii="Times New Roman" w:hAnsi="Times New Roman" w:cs="Times New Roman"/>
          <w:sz w:val="20"/>
          <w:szCs w:val="20"/>
          <w:lang w:bidi="ar-SA"/>
        </w:rPr>
      </w:pPr>
      <m:oMath>
        <m:r>
          <w:rPr>
            <w:rFonts w:ascii="Cambria Math" w:hAnsi="Cambria Math" w:cs="Times New Roman"/>
            <w:sz w:val="20"/>
            <w:szCs w:val="20"/>
            <w:lang w:bidi="ar-SA"/>
          </w:rPr>
          <m:t xml:space="preserve">С=Номинал* </m:t>
        </m:r>
        <m:f>
          <m:fPr>
            <m:ctrlPr>
              <w:rPr>
                <w:rFonts w:ascii="Cambria Math" w:hAnsi="Cambria Math" w:cs="Times New Roman"/>
                <w:i/>
                <w:sz w:val="20"/>
                <w:szCs w:val="20"/>
                <w:lang w:bidi="ar-SA"/>
              </w:rPr>
            </m:ctrlPr>
          </m:fPr>
          <m:num>
            <m:r>
              <w:rPr>
                <w:rFonts w:ascii="Cambria Math" w:hAnsi="Cambria Math" w:cs="Times New Roman"/>
                <w:sz w:val="20"/>
                <w:szCs w:val="20"/>
                <w:lang w:val="en-US" w:bidi="ar-SA"/>
              </w:rPr>
              <m:t>d</m:t>
            </m:r>
          </m:num>
          <m:den>
            <m:r>
              <w:rPr>
                <w:rFonts w:ascii="Cambria Math" w:hAnsi="Cambria Math" w:cs="Times New Roman"/>
                <w:sz w:val="20"/>
                <w:szCs w:val="20"/>
                <w:lang w:bidi="ar-SA"/>
              </w:rPr>
              <m:t>1+r</m:t>
            </m:r>
          </m:den>
        </m:f>
      </m:oMath>
      <w:r w:rsidRPr="006C5176">
        <w:rPr>
          <w:rFonts w:ascii="Times New Roman" w:hAnsi="Times New Roman" w:cs="Times New Roman"/>
          <w:sz w:val="20"/>
          <w:szCs w:val="20"/>
          <w:lang w:bidi="ar-SA"/>
        </w:rPr>
        <w:t xml:space="preserve">  , где</w:t>
      </w:r>
    </w:p>
    <w:p w14:paraId="54E92BFF" w14:textId="77777777" w:rsidR="00417690" w:rsidRPr="006C5176" w:rsidRDefault="00417690" w:rsidP="00B62BA5">
      <w:pPr>
        <w:widowControl/>
        <w:autoSpaceDE w:val="0"/>
        <w:autoSpaceDN w:val="0"/>
        <w:adjustRightInd w:val="0"/>
        <w:rPr>
          <w:rFonts w:ascii="Times New Roman" w:hAnsi="Times New Roman" w:cs="Times New Roman"/>
          <w:sz w:val="20"/>
          <w:szCs w:val="20"/>
          <w:lang w:bidi="ar-SA"/>
        </w:rPr>
      </w:pPr>
    </w:p>
    <w:p w14:paraId="1049B27A" w14:textId="77777777" w:rsidR="00124194" w:rsidRPr="00BB1E15" w:rsidRDefault="00124194"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 xml:space="preserve">d – фиксированная ставка дивиденда; </w:t>
      </w:r>
    </w:p>
    <w:p w14:paraId="7650A7D1" w14:textId="77777777" w:rsidR="00124194" w:rsidRPr="00BB1E15" w:rsidRDefault="00124194"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 xml:space="preserve">r – применимая ставка дисконтирования. </w:t>
      </w:r>
    </w:p>
    <w:p w14:paraId="0F42F14B" w14:textId="45D3AC33" w:rsidR="00417690" w:rsidRPr="00BB1E15" w:rsidRDefault="00124194">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Затратный метод </w:t>
      </w:r>
      <w:r w:rsidR="003F1F47" w:rsidRPr="00BB1E15">
        <w:rPr>
          <w:rFonts w:ascii="Times New Roman" w:hAnsi="Times New Roman" w:cs="Times New Roman"/>
        </w:rPr>
        <w:t>–</w:t>
      </w:r>
      <w:r w:rsidR="00417690" w:rsidRPr="00BB1E15">
        <w:rPr>
          <w:rFonts w:ascii="Times New Roman" w:hAnsi="Times New Roman" w:cs="Times New Roman"/>
        </w:rPr>
        <w:t xml:space="preserve"> это совокупность методов оценки стоимости объекта оценки, основанных на определении затрат, необходимых для восстановления либо замещения объекта оценки, с учетом износа и устаревания. Затратный подход к оценке долевых инструментов рассматривает стоимость </w:t>
      </w:r>
      <w:r w:rsidR="00866C92" w:rsidRPr="00BB1E15">
        <w:rPr>
          <w:rFonts w:ascii="Times New Roman" w:hAnsi="Times New Roman" w:cs="Times New Roman"/>
        </w:rPr>
        <w:t>общества</w:t>
      </w:r>
      <w:r w:rsidR="00417690" w:rsidRPr="00BB1E15">
        <w:rPr>
          <w:rFonts w:ascii="Times New Roman" w:hAnsi="Times New Roman" w:cs="Times New Roman"/>
        </w:rPr>
        <w:t xml:space="preserve"> (эмитента) с точки зрения понесенных издержек на создание</w:t>
      </w:r>
      <w:r w:rsidR="00866C92" w:rsidRPr="00BB1E15">
        <w:rPr>
          <w:rFonts w:ascii="Times New Roman" w:hAnsi="Times New Roman" w:cs="Times New Roman"/>
        </w:rPr>
        <w:t xml:space="preserve"> предприятия</w:t>
      </w:r>
      <w:r w:rsidR="00417690" w:rsidRPr="00BB1E15">
        <w:rPr>
          <w:rFonts w:ascii="Times New Roman" w:hAnsi="Times New Roman" w:cs="Times New Roman"/>
        </w:rPr>
        <w:t>.</w:t>
      </w:r>
    </w:p>
    <w:p w14:paraId="162F812C" w14:textId="68DDA74A" w:rsidR="00417690" w:rsidRPr="00BB1E15" w:rsidRDefault="00417690"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Затратный подход реализуется посредством применения метода стоимости чистых активов.</w:t>
      </w:r>
    </w:p>
    <w:p w14:paraId="377B2DEE" w14:textId="77777777" w:rsidR="00417690" w:rsidRPr="00BB1E15" w:rsidRDefault="00417690" w:rsidP="00A8050E">
      <w:pPr>
        <w:pStyle w:val="a8"/>
        <w:widowControl/>
        <w:numPr>
          <w:ilvl w:val="2"/>
          <w:numId w:val="7"/>
        </w:numPr>
        <w:tabs>
          <w:tab w:val="left" w:pos="1134"/>
        </w:tabs>
        <w:autoSpaceDE w:val="0"/>
        <w:autoSpaceDN w:val="0"/>
        <w:adjustRightInd w:val="0"/>
        <w:ind w:left="0" w:firstLine="709"/>
        <w:jc w:val="both"/>
        <w:rPr>
          <w:rFonts w:ascii="Times New Roman" w:hAnsi="Times New Roman" w:cs="Times New Roman"/>
        </w:rPr>
      </w:pPr>
      <w:r w:rsidRPr="00BB1E15">
        <w:rPr>
          <w:rFonts w:ascii="Times New Roman" w:hAnsi="Times New Roman" w:cs="Times New Roman"/>
        </w:rPr>
        <w:t xml:space="preserve">Метод стоимости чистых активов основан на оценке рыночной стоимости всех статей активов и обязательств, принимаемых к расчету чистых активов </w:t>
      </w:r>
      <w:r w:rsidR="00866C92" w:rsidRPr="00BB1E15">
        <w:rPr>
          <w:rFonts w:ascii="Times New Roman" w:hAnsi="Times New Roman" w:cs="Times New Roman"/>
        </w:rPr>
        <w:t>общества</w:t>
      </w:r>
      <w:r w:rsidRPr="00BB1E15">
        <w:rPr>
          <w:rFonts w:ascii="Times New Roman" w:hAnsi="Times New Roman" w:cs="Times New Roman"/>
        </w:rPr>
        <w:t xml:space="preserve"> и деления полученной величины на число обыкновенных (привилегированных) акций, находящихся в обращении. </w:t>
      </w:r>
    </w:p>
    <w:p w14:paraId="0B9DDF1A" w14:textId="6481E995" w:rsidR="00417690" w:rsidRPr="00BB1E15" w:rsidRDefault="00417690"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 xml:space="preserve">Порядок расчета стоимости чистых активов для акций акционерных обществ определяется в соответствии с </w:t>
      </w:r>
      <w:r w:rsidR="00B03123" w:rsidRPr="00BB1E15">
        <w:rPr>
          <w:rFonts w:ascii="Times New Roman" w:hAnsi="Times New Roman" w:cs="Times New Roman"/>
          <w:lang w:bidi="ar-SA"/>
        </w:rPr>
        <w:t xml:space="preserve">«Порядком определения стоимости чистых активов», утвержденным </w:t>
      </w:r>
      <w:r w:rsidRPr="00BB1E15">
        <w:rPr>
          <w:rFonts w:ascii="Times New Roman" w:hAnsi="Times New Roman" w:cs="Times New Roman"/>
          <w:lang w:bidi="ar-SA"/>
        </w:rPr>
        <w:t>Приказом Министерства Финансов РФ от 28.08.2014 №84н.</w:t>
      </w:r>
    </w:p>
    <w:p w14:paraId="4284A18A" w14:textId="77777777" w:rsidR="00417690" w:rsidRPr="00BB1E15" w:rsidRDefault="00417690" w:rsidP="00B62BA5">
      <w:pPr>
        <w:widowControl/>
        <w:autoSpaceDE w:val="0"/>
        <w:autoSpaceDN w:val="0"/>
        <w:adjustRightInd w:val="0"/>
        <w:ind w:firstLine="709"/>
        <w:rPr>
          <w:rFonts w:ascii="Times New Roman" w:hAnsi="Times New Roman" w:cs="Times New Roman"/>
          <w:lang w:bidi="ar-SA"/>
        </w:rPr>
      </w:pPr>
      <w:r w:rsidRPr="00BB1E15">
        <w:rPr>
          <w:rFonts w:ascii="Times New Roman" w:hAnsi="Times New Roman" w:cs="Times New Roman"/>
          <w:lang w:bidi="ar-SA"/>
        </w:rPr>
        <w:t xml:space="preserve">Расчет стоимости чистых активов акций акционерных обществ проводится по формуле: </w:t>
      </w:r>
    </w:p>
    <w:p w14:paraId="753614B4" w14:textId="77777777" w:rsidR="00866C92" w:rsidRPr="006C5176" w:rsidRDefault="00866C92" w:rsidP="00B62BA5">
      <w:pPr>
        <w:widowControl/>
        <w:autoSpaceDE w:val="0"/>
        <w:autoSpaceDN w:val="0"/>
        <w:adjustRightInd w:val="0"/>
        <w:rPr>
          <w:rFonts w:ascii="Times New Roman" w:hAnsi="Times New Roman" w:cs="Times New Roman"/>
          <w:sz w:val="20"/>
          <w:szCs w:val="20"/>
          <w:lang w:bidi="ar-SA"/>
        </w:rPr>
      </w:pPr>
    </w:p>
    <w:p w14:paraId="36C53AF9" w14:textId="2C0FE5E7" w:rsidR="00417690" w:rsidRDefault="00417690" w:rsidP="00B62BA5">
      <w:pPr>
        <w:widowControl/>
        <w:autoSpaceDE w:val="0"/>
        <w:autoSpaceDN w:val="0"/>
        <w:adjustRightInd w:val="0"/>
        <w:jc w:val="center"/>
        <w:rPr>
          <w:rFonts w:ascii="Times New Roman" w:hAnsi="Times New Roman" w:cs="Times New Roman"/>
          <w:sz w:val="20"/>
          <w:szCs w:val="20"/>
          <w:lang w:bidi="ar-SA"/>
        </w:rPr>
      </w:pPr>
      <w:r w:rsidRPr="006C5176">
        <w:rPr>
          <w:rFonts w:ascii="Times New Roman" w:hAnsi="Times New Roman" w:cs="Times New Roman"/>
          <w:sz w:val="20"/>
          <w:szCs w:val="20"/>
          <w:lang w:bidi="ar-SA"/>
        </w:rPr>
        <w:t>ЧА = А – О, где:</w:t>
      </w:r>
    </w:p>
    <w:p w14:paraId="78F3A708" w14:textId="77777777" w:rsidR="00EC072A" w:rsidRPr="006C5176" w:rsidRDefault="00EC072A" w:rsidP="00B62BA5">
      <w:pPr>
        <w:widowControl/>
        <w:autoSpaceDE w:val="0"/>
        <w:autoSpaceDN w:val="0"/>
        <w:adjustRightInd w:val="0"/>
        <w:rPr>
          <w:rFonts w:ascii="Times New Roman" w:hAnsi="Times New Roman" w:cs="Times New Roman"/>
          <w:sz w:val="20"/>
          <w:szCs w:val="20"/>
          <w:lang w:bidi="ar-SA"/>
        </w:rPr>
      </w:pPr>
    </w:p>
    <w:p w14:paraId="4774266B" w14:textId="77777777" w:rsidR="00417690" w:rsidRPr="00BB1E15" w:rsidRDefault="00866C92"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ЧА - ч</w:t>
      </w:r>
      <w:r w:rsidR="00417690" w:rsidRPr="00BB1E15">
        <w:rPr>
          <w:rFonts w:ascii="Times New Roman" w:hAnsi="Times New Roman" w:cs="Times New Roman"/>
          <w:lang w:bidi="ar-SA"/>
        </w:rPr>
        <w:t xml:space="preserve">истые активы </w:t>
      </w:r>
    </w:p>
    <w:p w14:paraId="4DF2A70B" w14:textId="77777777" w:rsidR="00417690" w:rsidRPr="00BB1E15" w:rsidRDefault="00417690"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 xml:space="preserve">А - </w:t>
      </w:r>
      <w:r w:rsidR="00866C92" w:rsidRPr="00BB1E15">
        <w:rPr>
          <w:rFonts w:ascii="Times New Roman" w:hAnsi="Times New Roman" w:cs="Times New Roman"/>
          <w:lang w:bidi="ar-SA"/>
        </w:rPr>
        <w:t>а</w:t>
      </w:r>
      <w:r w:rsidRPr="00BB1E15">
        <w:rPr>
          <w:rFonts w:ascii="Times New Roman" w:hAnsi="Times New Roman" w:cs="Times New Roman"/>
          <w:lang w:bidi="ar-SA"/>
        </w:rPr>
        <w:t>ктивы, принимаемые к расчету</w:t>
      </w:r>
      <w:r w:rsidR="00866C92" w:rsidRPr="00BB1E15">
        <w:rPr>
          <w:rFonts w:ascii="Times New Roman" w:hAnsi="Times New Roman" w:cs="Times New Roman"/>
          <w:lang w:bidi="ar-SA"/>
        </w:rPr>
        <w:t>;</w:t>
      </w:r>
      <w:r w:rsidRPr="00BB1E15">
        <w:rPr>
          <w:rFonts w:ascii="Times New Roman" w:hAnsi="Times New Roman" w:cs="Times New Roman"/>
          <w:lang w:bidi="ar-SA"/>
        </w:rPr>
        <w:t xml:space="preserve"> </w:t>
      </w:r>
    </w:p>
    <w:p w14:paraId="70FF3878" w14:textId="77777777" w:rsidR="00417690" w:rsidRPr="00BB1E15" w:rsidRDefault="00417690"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 xml:space="preserve">О - </w:t>
      </w:r>
      <w:r w:rsidR="00B03123" w:rsidRPr="00BB1E15">
        <w:rPr>
          <w:rFonts w:ascii="Times New Roman" w:hAnsi="Times New Roman" w:cs="Times New Roman"/>
          <w:lang w:bidi="ar-SA"/>
        </w:rPr>
        <w:t>о</w:t>
      </w:r>
      <w:r w:rsidRPr="00BB1E15">
        <w:rPr>
          <w:rFonts w:ascii="Times New Roman" w:hAnsi="Times New Roman" w:cs="Times New Roman"/>
          <w:lang w:bidi="ar-SA"/>
        </w:rPr>
        <w:t>бязательства, принимаемые к расчету</w:t>
      </w:r>
      <w:r w:rsidR="00866C92" w:rsidRPr="00BB1E15">
        <w:rPr>
          <w:rFonts w:ascii="Times New Roman" w:hAnsi="Times New Roman" w:cs="Times New Roman"/>
          <w:lang w:bidi="ar-SA"/>
        </w:rPr>
        <w:t>.</w:t>
      </w:r>
      <w:r w:rsidRPr="00BB1E15">
        <w:rPr>
          <w:rFonts w:ascii="Times New Roman" w:hAnsi="Times New Roman" w:cs="Times New Roman"/>
          <w:lang w:bidi="ar-SA"/>
        </w:rPr>
        <w:t xml:space="preserve"> </w:t>
      </w:r>
    </w:p>
    <w:p w14:paraId="0A264DE1" w14:textId="77777777" w:rsidR="00124194" w:rsidRPr="00BB1E15" w:rsidRDefault="00417690"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 Объекты бухгалтерского учета, учитываемые организацией на забалансовых счетах, при определении стоимости чистых активов к расчету не принимаются.</w:t>
      </w:r>
    </w:p>
    <w:p w14:paraId="7A8674FF" w14:textId="16DE9693"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Принимаемые к расчету активы включают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 Принимаемые к расчету обязательства включают все обязательства организации, за исключением доходов будущих периодов, признанных организацией в связи с получением государственной помощи, а также в связи с безвозмездным получением имущества.</w:t>
      </w:r>
    </w:p>
    <w:p w14:paraId="134346B0" w14:textId="77777777"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Стоимость чистых активов определяется по данным бухгалтерского учета. При этом активы и обязательства принимаются к расчету по стоимости, подлежащей отражению в бухгалтерском балансе организации (в нетто-оценке за вычетом регулирующих величин) исходя из правил оценки соответствующих статей бухгалтерского баланса.</w:t>
      </w:r>
    </w:p>
    <w:p w14:paraId="16FB7EB8" w14:textId="49DF9B5B" w:rsidR="00866C92" w:rsidRPr="00BB1E15" w:rsidRDefault="00866C92" w:rsidP="00A8050E">
      <w:pPr>
        <w:pStyle w:val="a8"/>
        <w:widowControl/>
        <w:numPr>
          <w:ilvl w:val="2"/>
          <w:numId w:val="7"/>
        </w:numPr>
        <w:tabs>
          <w:tab w:val="left" w:pos="1134"/>
        </w:tabs>
        <w:autoSpaceDE w:val="0"/>
        <w:autoSpaceDN w:val="0"/>
        <w:adjustRightInd w:val="0"/>
        <w:ind w:left="0" w:firstLine="709"/>
        <w:jc w:val="both"/>
        <w:rPr>
          <w:rFonts w:ascii="Times New Roman" w:hAnsi="Times New Roman" w:cs="Times New Roman"/>
        </w:rPr>
      </w:pPr>
      <w:r w:rsidRPr="00BB1E15">
        <w:rPr>
          <w:rFonts w:ascii="Times New Roman" w:hAnsi="Times New Roman" w:cs="Times New Roman"/>
        </w:rPr>
        <w:t>Порядок расчета стоимости чистых активов для долевых инструментов-паев паевых инвестиционных фондов определяется в соответствии с Указанием Банка России от 25.08.2015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493915D6" w14:textId="2257DF02"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Стоимость чистых активов паевого инвестиционного фонда определяется как разница между стоимостью всех активов паевого инвестиционного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2E07870A" w14:textId="77777777"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p>
    <w:p w14:paraId="71D44B5E" w14:textId="20130740"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lastRenderedPageBreak/>
        <w:t>Расчетная стоимость инвестиционного пая паевого инвестиционного фонда определяется на каждую дату, на которую определяется стоимость чистых активов этого фонда, путем деления стоимости чистых активов паевого инвестиционного фонда на количество инвестиционных паев по данным реестра владельцев инвестиционных паев этого паевого инвестиционного фонда на дату определения расчетной стоимости.</w:t>
      </w:r>
    </w:p>
    <w:p w14:paraId="785C52F3" w14:textId="1509EC95"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 данного фонда.</w:t>
      </w:r>
    </w:p>
    <w:p w14:paraId="08E73396" w14:textId="77777777" w:rsidR="00866C92" w:rsidRPr="00BB1E15" w:rsidRDefault="00866C92" w:rsidP="00B62BA5">
      <w:pPr>
        <w:widowControl/>
        <w:autoSpaceDE w:val="0"/>
        <w:autoSpaceDN w:val="0"/>
        <w:adjustRightInd w:val="0"/>
        <w:ind w:firstLine="709"/>
        <w:jc w:val="both"/>
        <w:rPr>
          <w:rFonts w:ascii="Times New Roman" w:hAnsi="Times New Roman" w:cs="Times New Roman"/>
          <w:lang w:bidi="ar-SA"/>
        </w:rPr>
      </w:pPr>
      <w:r w:rsidRPr="00BB1E15">
        <w:rPr>
          <w:rFonts w:ascii="Times New Roman" w:hAnsi="Times New Roman" w:cs="Times New Roman"/>
          <w:lang w:bidi="ar-SA"/>
        </w:rPr>
        <w:t>Для определения справедливой стоимости инвестиционных паев, входящий в состав активов Общества, у управляющей компании данного паевого инвестиционного фонда запрашивается информация по расчету стоимости чистых активов, представленная в виде справки о стоимости чистых активов фонда на дату расчета.</w:t>
      </w:r>
    </w:p>
    <w:p w14:paraId="28B2A5FC" w14:textId="56B963CC" w:rsidR="00866C92" w:rsidRPr="00BB1E15" w:rsidRDefault="00866C92">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Если на дату очередной переоценки ценной бумаги</w:t>
      </w:r>
      <w:r w:rsidR="00AC2993" w:rsidRPr="00BB1E15">
        <w:rPr>
          <w:rFonts w:ascii="Times New Roman" w:hAnsi="Times New Roman" w:cs="Times New Roman"/>
        </w:rPr>
        <w:t xml:space="preserve"> </w:t>
      </w:r>
      <w:r w:rsidRPr="00BB1E15">
        <w:rPr>
          <w:rFonts w:ascii="Times New Roman" w:hAnsi="Times New Roman" w:cs="Times New Roman"/>
        </w:rPr>
        <w:t>рынок по данной ценной бумаге удовлетворяет крите</w:t>
      </w:r>
      <w:r w:rsidR="00CB4A4A" w:rsidRPr="00BB1E15">
        <w:rPr>
          <w:rFonts w:ascii="Times New Roman" w:hAnsi="Times New Roman" w:cs="Times New Roman"/>
        </w:rPr>
        <w:t>риям а</w:t>
      </w:r>
      <w:r w:rsidRPr="00BB1E15">
        <w:rPr>
          <w:rFonts w:ascii="Times New Roman" w:hAnsi="Times New Roman" w:cs="Times New Roman"/>
        </w:rPr>
        <w:t>ктивного, Банк переходит к определению спр</w:t>
      </w:r>
      <w:r w:rsidR="00CB4A4A" w:rsidRPr="00BB1E15">
        <w:rPr>
          <w:rFonts w:ascii="Times New Roman" w:hAnsi="Times New Roman" w:cs="Times New Roman"/>
        </w:rPr>
        <w:t>аведливой стоимости в условиях а</w:t>
      </w:r>
      <w:r w:rsidRPr="00BB1E15">
        <w:rPr>
          <w:rFonts w:ascii="Times New Roman" w:hAnsi="Times New Roman" w:cs="Times New Roman"/>
        </w:rPr>
        <w:t>ктивного рынка.</w:t>
      </w:r>
    </w:p>
    <w:p w14:paraId="689679A1" w14:textId="77777777" w:rsidR="0005140C" w:rsidRPr="00BB1E15" w:rsidRDefault="0005140C" w:rsidP="00B62BA5">
      <w:pPr>
        <w:widowControl/>
        <w:autoSpaceDE w:val="0"/>
        <w:autoSpaceDN w:val="0"/>
        <w:adjustRightInd w:val="0"/>
        <w:rPr>
          <w:rFonts w:ascii="Times New Roman" w:hAnsi="Times New Roman" w:cs="Times New Roman"/>
          <w:lang w:bidi="ar-SA"/>
        </w:rPr>
      </w:pPr>
    </w:p>
    <w:bookmarkEnd w:id="2"/>
    <w:p w14:paraId="6FC50175" w14:textId="77777777" w:rsidR="00210755" w:rsidRPr="00BB1E15" w:rsidRDefault="008318BD">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Корректировки справедливой стоимости</w:t>
      </w:r>
    </w:p>
    <w:p w14:paraId="73D5DBE3" w14:textId="77777777" w:rsidR="00496E91" w:rsidRPr="00BB1E15" w:rsidRDefault="00496E91" w:rsidP="00B62BA5">
      <w:pPr>
        <w:widowControl/>
        <w:autoSpaceDE w:val="0"/>
        <w:autoSpaceDN w:val="0"/>
        <w:adjustRightInd w:val="0"/>
        <w:rPr>
          <w:rFonts w:ascii="Times New Roman" w:hAnsi="Times New Roman" w:cs="Times New Roman"/>
          <w:lang w:bidi="ar-SA"/>
        </w:rPr>
      </w:pPr>
    </w:p>
    <w:p w14:paraId="6E61935D" w14:textId="612C6898" w:rsidR="008318BD" w:rsidRPr="00BB1E15" w:rsidRDefault="008318B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Банк использует корректировки справедливой стоимости в случае, если используемые методы оценки не позволяют точно определить справедливую стоимость ценных бумаг вследствие следующих обстоятельств:</w:t>
      </w:r>
    </w:p>
    <w:p w14:paraId="305F5963" w14:textId="7FB58C1F" w:rsidR="008318BD" w:rsidRPr="00BB1E15" w:rsidRDefault="008318BD" w:rsidP="00B62BA5">
      <w:pPr>
        <w:pStyle w:val="af1"/>
        <w:jc w:val="both"/>
        <w:rPr>
          <w:rFonts w:ascii="Times New Roman" w:hAnsi="Times New Roman" w:cs="Times New Roman"/>
          <w:lang w:bidi="ar-SA"/>
        </w:rPr>
      </w:pPr>
      <w:r w:rsidRPr="00BB1E15">
        <w:rPr>
          <w:rFonts w:ascii="Times New Roman" w:hAnsi="Times New Roman" w:cs="Times New Roman"/>
          <w:lang w:bidi="ar-SA"/>
        </w:rPr>
        <w:t>– наличие опасений, что совокупные финансовые затраты на продажу, закрытие или хеджирование позиции даже в нормальных рыночных условиях превысят существующий спр</w:t>
      </w:r>
      <w:r w:rsidR="00AC2993" w:rsidRPr="00BB1E15">
        <w:rPr>
          <w:rFonts w:ascii="Times New Roman" w:hAnsi="Times New Roman" w:cs="Times New Roman"/>
          <w:lang w:bidi="ar-SA"/>
        </w:rPr>
        <w:t>е</w:t>
      </w:r>
      <w:r w:rsidRPr="00BB1E15">
        <w:rPr>
          <w:rFonts w:ascii="Times New Roman" w:hAnsi="Times New Roman" w:cs="Times New Roman"/>
          <w:lang w:bidi="ar-SA"/>
        </w:rPr>
        <w:t>д между ценой покупки и ценой продажи;</w:t>
      </w:r>
    </w:p>
    <w:p w14:paraId="54F4F584" w14:textId="72CD7998" w:rsidR="008318BD" w:rsidRPr="00BB1E15" w:rsidRDefault="008318BD" w:rsidP="00B62BA5">
      <w:pPr>
        <w:pStyle w:val="af1"/>
        <w:jc w:val="both"/>
        <w:rPr>
          <w:rFonts w:ascii="Times New Roman" w:hAnsi="Times New Roman" w:cs="Times New Roman"/>
          <w:lang w:bidi="ar-SA"/>
        </w:rPr>
      </w:pPr>
      <w:r w:rsidRPr="00BB1E15">
        <w:rPr>
          <w:rFonts w:ascii="Times New Roman" w:hAnsi="Times New Roman" w:cs="Times New Roman"/>
          <w:lang w:bidi="ar-SA"/>
        </w:rPr>
        <w:t>– наличие низкой активности рынка ценных бумаг (невыполнение определенного критерия активности рынка);</w:t>
      </w:r>
    </w:p>
    <w:p w14:paraId="547BBEE4" w14:textId="36F5A5C0" w:rsidR="008318BD" w:rsidRPr="00BB1E15" w:rsidRDefault="008318BD" w:rsidP="00B62BA5">
      <w:pPr>
        <w:pStyle w:val="af1"/>
        <w:jc w:val="both"/>
        <w:rPr>
          <w:rFonts w:ascii="Times New Roman" w:hAnsi="Times New Roman" w:cs="Times New Roman"/>
          <w:lang w:bidi="ar-SA"/>
        </w:rPr>
      </w:pPr>
      <w:r w:rsidRPr="00BB1E15">
        <w:rPr>
          <w:rFonts w:ascii="Times New Roman" w:hAnsi="Times New Roman" w:cs="Times New Roman"/>
          <w:lang w:bidi="ar-SA"/>
        </w:rPr>
        <w:t>– позиции оцениваются на основе модели, которая несет в себе значительный модельный риск, хотя и была одобрена к применению;</w:t>
      </w:r>
    </w:p>
    <w:p w14:paraId="2A5706EC" w14:textId="08E499A9" w:rsidR="008318BD" w:rsidRPr="00BB1E15" w:rsidRDefault="008318BD" w:rsidP="00B62BA5">
      <w:pPr>
        <w:pStyle w:val="af1"/>
        <w:jc w:val="both"/>
        <w:rPr>
          <w:rFonts w:ascii="Times New Roman" w:hAnsi="Times New Roman" w:cs="Times New Roman"/>
          <w:lang w:bidi="ar-SA"/>
        </w:rPr>
      </w:pPr>
      <w:r w:rsidRPr="00BB1E15">
        <w:rPr>
          <w:rFonts w:ascii="Times New Roman" w:hAnsi="Times New Roman" w:cs="Times New Roman"/>
          <w:lang w:bidi="ar-SA"/>
        </w:rPr>
        <w:t>– позиции подвержены определенным рискам или предполагают операционные расходы в будущем, которые участники рынка обычно учитывают в цене соответствующих позиций, но которые по какой-то причине не могут быт</w:t>
      </w:r>
      <w:r w:rsidR="00527AFD" w:rsidRPr="00BB1E15">
        <w:rPr>
          <w:rFonts w:ascii="Times New Roman" w:hAnsi="Times New Roman" w:cs="Times New Roman"/>
          <w:lang w:bidi="ar-SA"/>
        </w:rPr>
        <w:t>ь отражены в денежном выражении.</w:t>
      </w:r>
    </w:p>
    <w:p w14:paraId="67B15A42" w14:textId="41F6FB65" w:rsidR="008318BD" w:rsidRPr="00BB1E15" w:rsidRDefault="008318B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Банк может применять общую и частную модели корректировки справедливой стоимости.</w:t>
      </w:r>
    </w:p>
    <w:p w14:paraId="19E07D9B" w14:textId="3B173100" w:rsidR="008318BD" w:rsidRPr="00BB1E15" w:rsidRDefault="008318B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К категории общих корректировок относится корректировка, учитывающая низкую активность рынка, применяющаяся к наблюдаемым ценам неактивного рынка.</w:t>
      </w:r>
    </w:p>
    <w:p w14:paraId="543F5ECD" w14:textId="03BFA8A4" w:rsidR="008318BD" w:rsidRPr="00BB1E15" w:rsidRDefault="008318B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К категории частных корректировок относятся:</w:t>
      </w:r>
    </w:p>
    <w:p w14:paraId="1E24C0DB" w14:textId="6AB554AC" w:rsidR="008318BD" w:rsidRPr="00BB1E15" w:rsidRDefault="00527AFD" w:rsidP="00B62BA5">
      <w:pPr>
        <w:pStyle w:val="af1"/>
        <w:jc w:val="both"/>
        <w:rPr>
          <w:rFonts w:ascii="Times New Roman" w:hAnsi="Times New Roman" w:cs="Times New Roman"/>
          <w:lang w:bidi="ar-SA"/>
        </w:rPr>
      </w:pPr>
      <w:r w:rsidRPr="00BB1E15">
        <w:rPr>
          <w:rFonts w:ascii="Times New Roman" w:hAnsi="Times New Roman" w:cs="Times New Roman"/>
          <w:lang w:bidi="ar-SA"/>
        </w:rPr>
        <w:t xml:space="preserve">– </w:t>
      </w:r>
      <w:r w:rsidR="008318BD" w:rsidRPr="00BB1E15">
        <w:rPr>
          <w:rFonts w:ascii="Times New Roman" w:hAnsi="Times New Roman" w:cs="Times New Roman"/>
          <w:lang w:bidi="ar-SA"/>
        </w:rPr>
        <w:t>корректировка на модельный риск: корректировка для инструментов, стоимость которых рассчитывается по ценовой модели (на основании модели), обусловленная неопределенностью, связанной с самой моделью или с параметрами такой модели.</w:t>
      </w:r>
    </w:p>
    <w:p w14:paraId="030757FF" w14:textId="783114C8" w:rsidR="008318BD" w:rsidRPr="00BB1E15" w:rsidRDefault="00527AFD" w:rsidP="00B62BA5">
      <w:pPr>
        <w:pStyle w:val="af1"/>
        <w:jc w:val="both"/>
        <w:rPr>
          <w:rFonts w:ascii="Times New Roman" w:hAnsi="Times New Roman" w:cs="Times New Roman"/>
          <w:lang w:bidi="ar-SA"/>
        </w:rPr>
      </w:pPr>
      <w:r w:rsidRPr="00BB1E15">
        <w:rPr>
          <w:rFonts w:ascii="Times New Roman" w:hAnsi="Times New Roman" w:cs="Times New Roman"/>
          <w:lang w:bidi="ar-SA"/>
        </w:rPr>
        <w:t>–</w:t>
      </w:r>
      <w:r w:rsidR="008318BD" w:rsidRPr="00BB1E15">
        <w:rPr>
          <w:rFonts w:ascii="Times New Roman" w:hAnsi="Times New Roman" w:cs="Times New Roman"/>
          <w:lang w:bidi="ar-SA"/>
        </w:rPr>
        <w:t xml:space="preserve"> дополнительная корректировка: применяется в случае, если результаты мониторинга полученной справедливой стоимости с помощью рыночных показателей оказались неудовлетворительными или выявлены признаки существенного обесценения по ценным бумагам, оцениваемым по справедливой стоимости через прибыль или убыток.</w:t>
      </w:r>
    </w:p>
    <w:p w14:paraId="4BC77B39" w14:textId="77777777" w:rsidR="008318BD" w:rsidRPr="00BB1E15" w:rsidRDefault="008318B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Использование того или иного вида корректировок опред</w:t>
      </w:r>
      <w:r w:rsidR="00527AFD" w:rsidRPr="00BB1E15">
        <w:rPr>
          <w:rFonts w:ascii="Times New Roman" w:hAnsi="Times New Roman" w:cs="Times New Roman"/>
        </w:rPr>
        <w:t>еляется уровнем исходных данных</w:t>
      </w:r>
      <w:r w:rsidRPr="00BB1E15">
        <w:rPr>
          <w:rFonts w:ascii="Times New Roman" w:hAnsi="Times New Roman" w:cs="Times New Roman"/>
        </w:rPr>
        <w:t xml:space="preserve">: </w:t>
      </w:r>
    </w:p>
    <w:p w14:paraId="3ECF0C48" w14:textId="77777777" w:rsidR="008318BD" w:rsidRPr="00BB1E15" w:rsidRDefault="00527AFD"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1 у</w:t>
      </w:r>
      <w:r w:rsidR="008318BD" w:rsidRPr="00BB1E15">
        <w:rPr>
          <w:rFonts w:ascii="Times New Roman" w:hAnsi="Times New Roman" w:cs="Times New Roman"/>
          <w:lang w:bidi="ar-SA"/>
        </w:rPr>
        <w:t xml:space="preserve">ровень – корректировки не применяются; </w:t>
      </w:r>
    </w:p>
    <w:p w14:paraId="2816F715" w14:textId="77777777" w:rsidR="008318BD" w:rsidRPr="00BB1E15" w:rsidRDefault="00527AFD"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2 у</w:t>
      </w:r>
      <w:r w:rsidR="008318BD" w:rsidRPr="00BB1E15">
        <w:rPr>
          <w:rFonts w:ascii="Times New Roman" w:hAnsi="Times New Roman" w:cs="Times New Roman"/>
          <w:lang w:bidi="ar-SA"/>
        </w:rPr>
        <w:t xml:space="preserve">ровень – применяются общие корректировки; </w:t>
      </w:r>
    </w:p>
    <w:p w14:paraId="14119AB4" w14:textId="77777777" w:rsidR="008318BD" w:rsidRPr="00BB1E15" w:rsidRDefault="00527AFD" w:rsidP="00B62BA5">
      <w:pPr>
        <w:widowControl/>
        <w:autoSpaceDE w:val="0"/>
        <w:autoSpaceDN w:val="0"/>
        <w:adjustRightInd w:val="0"/>
        <w:rPr>
          <w:rFonts w:ascii="Times New Roman" w:hAnsi="Times New Roman" w:cs="Times New Roman"/>
          <w:lang w:bidi="ar-SA"/>
        </w:rPr>
      </w:pPr>
      <w:r w:rsidRPr="00BB1E15">
        <w:rPr>
          <w:rFonts w:ascii="Times New Roman" w:hAnsi="Times New Roman" w:cs="Times New Roman"/>
          <w:lang w:bidi="ar-SA"/>
        </w:rPr>
        <w:t>3 у</w:t>
      </w:r>
      <w:r w:rsidR="008318BD" w:rsidRPr="00BB1E15">
        <w:rPr>
          <w:rFonts w:ascii="Times New Roman" w:hAnsi="Times New Roman" w:cs="Times New Roman"/>
          <w:lang w:bidi="ar-SA"/>
        </w:rPr>
        <w:t xml:space="preserve">ровень – применяются общие и частные корректировки. </w:t>
      </w:r>
    </w:p>
    <w:p w14:paraId="0268961B" w14:textId="0DF73AFD" w:rsidR="008318BD" w:rsidRPr="00BB1E15" w:rsidRDefault="008318BD">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Описание применяемых корректировок приведено в Приложении </w:t>
      </w:r>
      <w:r w:rsidR="00527AFD" w:rsidRPr="00BB1E15">
        <w:rPr>
          <w:rFonts w:ascii="Times New Roman" w:hAnsi="Times New Roman" w:cs="Times New Roman"/>
        </w:rPr>
        <w:t>№</w:t>
      </w:r>
      <w:r w:rsidR="004A0462" w:rsidRPr="00BB1E15">
        <w:rPr>
          <w:rFonts w:ascii="Times New Roman" w:hAnsi="Times New Roman" w:cs="Times New Roman"/>
        </w:rPr>
        <w:t xml:space="preserve"> </w:t>
      </w:r>
      <w:r w:rsidRPr="00BB1E15">
        <w:rPr>
          <w:rFonts w:ascii="Times New Roman" w:hAnsi="Times New Roman" w:cs="Times New Roman"/>
        </w:rPr>
        <w:t>2 к настоящей Методике.</w:t>
      </w:r>
    </w:p>
    <w:p w14:paraId="01532B75" w14:textId="49F672DE" w:rsidR="00FB7912" w:rsidRPr="00BB1E15" w:rsidRDefault="00FB7912" w:rsidP="00B62BA5">
      <w:pPr>
        <w:widowControl/>
        <w:autoSpaceDE w:val="0"/>
        <w:autoSpaceDN w:val="0"/>
        <w:adjustRightInd w:val="0"/>
        <w:rPr>
          <w:rFonts w:ascii="Times New Roman" w:hAnsi="Times New Roman" w:cs="Times New Roman"/>
          <w:lang w:bidi="ar-SA"/>
        </w:rPr>
      </w:pPr>
    </w:p>
    <w:p w14:paraId="64B08415" w14:textId="4DC720BB" w:rsidR="00B23F01" w:rsidRPr="00BB1E15" w:rsidRDefault="00B23F01">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Методы определения справедливой стоимости ПФИ.</w:t>
      </w:r>
    </w:p>
    <w:p w14:paraId="7E046160" w14:textId="77777777" w:rsidR="002E0DD5" w:rsidRPr="00BB1E15" w:rsidRDefault="002E0DD5" w:rsidP="00B62BA5">
      <w:pPr>
        <w:widowControl/>
        <w:autoSpaceDE w:val="0"/>
        <w:autoSpaceDN w:val="0"/>
        <w:adjustRightInd w:val="0"/>
        <w:rPr>
          <w:rFonts w:ascii="Times New Roman" w:hAnsi="Times New Roman" w:cs="Times New Roman"/>
          <w:lang w:bidi="ar-SA"/>
        </w:rPr>
      </w:pPr>
    </w:p>
    <w:p w14:paraId="62C804B3" w14:textId="3B4FCDB5"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Банк использует различные методы определения справедливой стоимости в зависимости от вида ПФИ и исходных данных, которые доступны по нему, на момент проведения оценки. </w:t>
      </w:r>
    </w:p>
    <w:p w14:paraId="2E693686" w14:textId="636CAF4B"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По ПФИ, по которым рынок является активным, Банк использует доступные исходные данные Уровня 1. При этом предпочтение отдается данным, определенным на основных рынках для оцениваемого ПФИ.</w:t>
      </w:r>
    </w:p>
    <w:p w14:paraId="155D70F3" w14:textId="609EB8FA"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bCs/>
        </w:rPr>
      </w:pPr>
      <w:r w:rsidRPr="00BB1E15">
        <w:rPr>
          <w:rFonts w:ascii="Times New Roman" w:hAnsi="Times New Roman" w:cs="Times New Roman"/>
        </w:rPr>
        <w:lastRenderedPageBreak/>
        <w:t xml:space="preserve">При использовании данных, указанных в п. </w:t>
      </w:r>
      <w:r w:rsidR="004A0462" w:rsidRPr="00BB1E15">
        <w:rPr>
          <w:rFonts w:ascii="Times New Roman" w:hAnsi="Times New Roman" w:cs="Times New Roman"/>
        </w:rPr>
        <w:t>9</w:t>
      </w:r>
      <w:r w:rsidRPr="00BB1E15">
        <w:rPr>
          <w:rFonts w:ascii="Times New Roman" w:hAnsi="Times New Roman" w:cs="Times New Roman"/>
        </w:rPr>
        <w:t>.2. настоящей Методики, устанавливается следующий приоритет</w:t>
      </w:r>
      <w:r w:rsidRPr="00BB1E15">
        <w:rPr>
          <w:rFonts w:ascii="Times New Roman" w:hAnsi="Times New Roman" w:cs="Times New Roman"/>
          <w:bCs/>
        </w:rPr>
        <w:t xml:space="preserve"> их использования:</w:t>
      </w:r>
    </w:p>
    <w:p w14:paraId="3CC2CB95"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1) последняя расчетная цена, определяемая организатором торговли (торговые площадки, биржи и т.д.) на дату, ближайшую к дате осуществления переоценки из предшествующих ей 30 (Тридцати) календарных дней;</w:t>
      </w:r>
    </w:p>
    <w:p w14:paraId="1808DA8A"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2) цена закрытия, раскрываемая признанными источниками информации, на дату, ближайшую к дате осуществления переоценки из предшествующих ей 30 (Тридцати) календарных дней.</w:t>
      </w:r>
    </w:p>
    <w:p w14:paraId="26B49795" w14:textId="10BE02C2" w:rsidR="00B23F01" w:rsidRPr="00BB1E15" w:rsidRDefault="00B23F01" w:rsidP="00B62BA5">
      <w:pPr>
        <w:autoSpaceDE w:val="0"/>
        <w:autoSpaceDN w:val="0"/>
        <w:adjustRightInd w:val="0"/>
        <w:ind w:firstLine="567"/>
        <w:jc w:val="both"/>
        <w:rPr>
          <w:rFonts w:ascii="Times New Roman" w:hAnsi="Times New Roman" w:cs="Times New Roman"/>
          <w:color w:val="auto"/>
        </w:rPr>
      </w:pPr>
      <w:r w:rsidRPr="00BB1E15">
        <w:rPr>
          <w:rFonts w:ascii="Times New Roman" w:hAnsi="Times New Roman" w:cs="Times New Roman"/>
        </w:rPr>
        <w:t xml:space="preserve">По договорам, предметом которых является приобретение ценных бумаг, оцениваемых по справедливой стоимости через прибыль или убыток, и ценных бумаг, оцениваемых по справедливой стоимости через прочий совокупный доход, по которым дата первоначального признания ценных бумаг не наступила на конец отчетного периода и на которые не </w:t>
      </w:r>
      <w:r w:rsidR="006D69C4" w:rsidRPr="00BB1E15">
        <w:rPr>
          <w:rFonts w:ascii="Times New Roman" w:hAnsi="Times New Roman" w:cs="Times New Roman"/>
        </w:rPr>
        <w:t xml:space="preserve">распространяются требования Положения </w:t>
      </w:r>
      <w:r w:rsidRPr="00BB1E15">
        <w:rPr>
          <w:rFonts w:ascii="Times New Roman" w:hAnsi="Times New Roman" w:cs="Times New Roman"/>
        </w:rPr>
        <w:t xml:space="preserve">Банка России №372-П, не реже чем на каждую отчетную дату проводится оценка величины изменения справедливой стоимости приобретаемых ценных бумаг с даты заключения договора на приобретение ценных </w:t>
      </w:r>
      <w:r w:rsidRPr="00BB1E15">
        <w:rPr>
          <w:rFonts w:ascii="Times New Roman" w:hAnsi="Times New Roman" w:cs="Times New Roman"/>
          <w:color w:val="auto"/>
        </w:rPr>
        <w:t>бумаг до отчетной даты.</w:t>
      </w:r>
    </w:p>
    <w:p w14:paraId="7927F27C" w14:textId="647C7BAE" w:rsidR="00B23F01" w:rsidRPr="00BB1E15" w:rsidRDefault="00B23F01" w:rsidP="00B62BA5">
      <w:pPr>
        <w:autoSpaceDE w:val="0"/>
        <w:autoSpaceDN w:val="0"/>
        <w:adjustRightInd w:val="0"/>
        <w:ind w:firstLine="540"/>
        <w:jc w:val="both"/>
        <w:rPr>
          <w:rFonts w:ascii="Times New Roman" w:hAnsi="Times New Roman" w:cs="Times New Roman"/>
        </w:rPr>
      </w:pPr>
      <w:r w:rsidRPr="00BB1E15">
        <w:rPr>
          <w:rFonts w:ascii="Times New Roman" w:hAnsi="Times New Roman" w:cs="Times New Roman"/>
        </w:rPr>
        <w:t>Справедливая стоимость -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w:t>
      </w:r>
    </w:p>
    <w:p w14:paraId="0C8E8A91" w14:textId="77777777" w:rsidR="00B23F01" w:rsidRPr="00BB1E15" w:rsidRDefault="00B23F01" w:rsidP="00B62BA5">
      <w:pPr>
        <w:autoSpaceDE w:val="0"/>
        <w:autoSpaceDN w:val="0"/>
        <w:adjustRightInd w:val="0"/>
        <w:ind w:firstLine="567"/>
        <w:jc w:val="both"/>
        <w:rPr>
          <w:rFonts w:ascii="Times New Roman" w:hAnsi="Times New Roman" w:cs="Times New Roman"/>
        </w:rPr>
      </w:pPr>
      <w:r w:rsidRPr="00BB1E15">
        <w:rPr>
          <w:rFonts w:ascii="Times New Roman" w:hAnsi="Times New Roman" w:cs="Times New Roman"/>
        </w:rPr>
        <w:t>При определении того, равняется ли справедливая стоимость ПФИ при первоначальном признании цене сделки, Банк принимает во внимание факторы, специфичные для данной сделки и для данного ПФИ (Управление контроля рисков формирует мотивированное суждение). Цена сделки может не представлять собой справедливую стоимость ПФИ при первоначальном признании, если имеет место любое из следующих условий:</w:t>
      </w:r>
    </w:p>
    <w:p w14:paraId="5366988B" w14:textId="77777777" w:rsidR="00B23F01" w:rsidRPr="00BB1E15" w:rsidRDefault="00B23F01"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сделка осуществляется между связанными сторонами, хотя цена сделки между связанными сторонами может использоваться в качестве одного из исходных параметров при оценке справедливой стоимости, если у Банка имеются свидетельства того, что данная сделка была осуществлена на рыночных условиях;</w:t>
      </w:r>
    </w:p>
    <w:p w14:paraId="21F6EB5C" w14:textId="77777777" w:rsidR="00B23F01" w:rsidRPr="00BB1E15" w:rsidRDefault="00B23F01"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сделка осуществляется под давлением, или продавец вынужден принять назначенную цену этой сделки;</w:t>
      </w:r>
    </w:p>
    <w:p w14:paraId="18AFDA40" w14:textId="77777777" w:rsidR="00B23F01" w:rsidRPr="00BB1E15" w:rsidRDefault="00B23F01"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единица учета, отражением которой является цена сделки, отличается от единицы учета соответствующего актива или обязательства, оцениваемого по справедливой стоимости;</w:t>
      </w:r>
    </w:p>
    <w:p w14:paraId="2D549B13" w14:textId="77777777" w:rsidR="00B23F01" w:rsidRPr="00BB1E15" w:rsidRDefault="00B23F01" w:rsidP="00B62BA5">
      <w:pPr>
        <w:autoSpaceDE w:val="0"/>
        <w:autoSpaceDN w:val="0"/>
        <w:adjustRightInd w:val="0"/>
        <w:ind w:firstLine="1134"/>
        <w:jc w:val="both"/>
        <w:rPr>
          <w:rFonts w:ascii="Times New Roman" w:hAnsi="Times New Roman" w:cs="Times New Roman"/>
        </w:rPr>
      </w:pPr>
      <w:r w:rsidRPr="00BB1E15">
        <w:rPr>
          <w:rFonts w:ascii="Times New Roman" w:hAnsi="Times New Roman" w:cs="Times New Roman"/>
        </w:rPr>
        <w:t>– рынок, на котором осуществляется данная сделка, не является основным рынком (или наиболее выгодным рынком).</w:t>
      </w:r>
    </w:p>
    <w:p w14:paraId="21CDE8DE" w14:textId="7CC35E00"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По ПФИ, по которым рынок является неактивным, для определения справедливой стоимости Банк использует исходные данные Уровня 2 и 3. Предпочтение отдается исходным данным Уровня 2. При этом, при определении справедливой стоимости ПФИ Банк использует расчетную стоимость, определенную в соответствии с пунктом 4 Указания</w:t>
      </w:r>
      <w:r w:rsidR="00FF6650" w:rsidRPr="00BB1E15">
        <w:rPr>
          <w:rFonts w:ascii="Times New Roman" w:hAnsi="Times New Roman" w:cs="Times New Roman"/>
        </w:rPr>
        <w:t xml:space="preserve"> Банка России</w:t>
      </w:r>
      <w:r w:rsidRPr="00BB1E15">
        <w:rPr>
          <w:rFonts w:ascii="Times New Roman" w:hAnsi="Times New Roman" w:cs="Times New Roman"/>
        </w:rPr>
        <w:t xml:space="preserve"> №3413-У.</w:t>
      </w:r>
    </w:p>
    <w:p w14:paraId="736B52A1" w14:textId="054464CA" w:rsidR="00B23F01" w:rsidRPr="00BB1E15" w:rsidRDefault="00B23F01" w:rsidP="00B62BA5">
      <w:pPr>
        <w:autoSpaceDE w:val="0"/>
        <w:autoSpaceDN w:val="0"/>
        <w:adjustRightInd w:val="0"/>
        <w:ind w:firstLine="567"/>
        <w:jc w:val="both"/>
        <w:rPr>
          <w:rFonts w:ascii="Times New Roman" w:hAnsi="Times New Roman" w:cs="Times New Roman"/>
        </w:rPr>
      </w:pPr>
      <w:r w:rsidRPr="00BB1E15">
        <w:rPr>
          <w:rFonts w:ascii="Times New Roman" w:hAnsi="Times New Roman" w:cs="Times New Roman"/>
        </w:rPr>
        <w:t>В случае необходимости определения расчетной стоимости ПФИ, условия которых не позволяют определить их расчетную стоимость в соответствии Указанием</w:t>
      </w:r>
      <w:r w:rsidR="00924B98" w:rsidRPr="00BB1E15">
        <w:rPr>
          <w:rFonts w:ascii="Times New Roman" w:hAnsi="Times New Roman" w:cs="Times New Roman"/>
        </w:rPr>
        <w:t xml:space="preserve"> Банка России</w:t>
      </w:r>
      <w:r w:rsidRPr="00BB1E15">
        <w:rPr>
          <w:rFonts w:ascii="Times New Roman" w:hAnsi="Times New Roman" w:cs="Times New Roman"/>
        </w:rPr>
        <w:t xml:space="preserve"> №3413-У, расчетная стоимость определяется Управлением ценных бумаг/Управлением дилинга и МБК (в зависимости от вида ПФИ) и Управлением контроля рисков по согласованию с уполномоченным органом управления Банка. </w:t>
      </w:r>
    </w:p>
    <w:p w14:paraId="774DDD5A" w14:textId="019B7C34"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Под исходными данными Уровня 1 понимаются:</w:t>
      </w:r>
    </w:p>
    <w:p w14:paraId="0131B112"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 котируемые цены на основных рынках для данных ПФИ;</w:t>
      </w:r>
    </w:p>
    <w:p w14:paraId="6A62BE40"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bCs/>
        </w:rPr>
        <w:t xml:space="preserve">– данные, раскрываемые иными организаторами торговли, </w:t>
      </w:r>
      <w:r w:rsidRPr="00BB1E15">
        <w:rPr>
          <w:rFonts w:ascii="Times New Roman" w:hAnsi="Times New Roman" w:cs="Times New Roman"/>
        </w:rPr>
        <w:t>брокерами, ценовыми службами.</w:t>
      </w:r>
    </w:p>
    <w:p w14:paraId="69299EBA" w14:textId="77777777" w:rsidR="00B23F01" w:rsidRPr="00BB1E15" w:rsidRDefault="00B23F01" w:rsidP="00B62BA5">
      <w:pPr>
        <w:autoSpaceDE w:val="0"/>
        <w:autoSpaceDN w:val="0"/>
        <w:adjustRightInd w:val="0"/>
        <w:ind w:firstLine="965"/>
        <w:jc w:val="both"/>
        <w:rPr>
          <w:rFonts w:ascii="Times New Roman" w:hAnsi="Times New Roman" w:cs="Times New Roman"/>
          <w:bCs/>
        </w:rPr>
      </w:pPr>
      <w:r w:rsidRPr="00BB1E15">
        <w:rPr>
          <w:rFonts w:ascii="Times New Roman" w:hAnsi="Times New Roman" w:cs="Times New Roman"/>
        </w:rPr>
        <w:t>Под исходными данными Уровня 2 понимаются:</w:t>
      </w:r>
    </w:p>
    <w:p w14:paraId="7CBB2613"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 котируемые цены или доходности по аналогичным ПФИ на активных рынках;</w:t>
      </w:r>
    </w:p>
    <w:p w14:paraId="32B0A54F"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 данные, наблюдаемые для ПФИ и подтвержденные рынком;</w:t>
      </w:r>
    </w:p>
    <w:p w14:paraId="3DC28BA9"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 котируемые цены на идентичные или аналогичные ПФИ на рынках, не являющихся активными.</w:t>
      </w:r>
    </w:p>
    <w:p w14:paraId="6B74A291" w14:textId="77777777" w:rsidR="00B23F01" w:rsidRPr="00BB1E15" w:rsidRDefault="00B23F01" w:rsidP="00B62BA5">
      <w:pPr>
        <w:autoSpaceDE w:val="0"/>
        <w:autoSpaceDN w:val="0"/>
        <w:adjustRightInd w:val="0"/>
        <w:ind w:firstLine="993"/>
        <w:jc w:val="both"/>
        <w:rPr>
          <w:rFonts w:ascii="Times New Roman" w:hAnsi="Times New Roman" w:cs="Times New Roman"/>
          <w:bCs/>
        </w:rPr>
      </w:pPr>
      <w:r w:rsidRPr="00BB1E15">
        <w:rPr>
          <w:rFonts w:ascii="Times New Roman" w:hAnsi="Times New Roman" w:cs="Times New Roman"/>
          <w:bCs/>
        </w:rPr>
        <w:t xml:space="preserve">При этом, под аналогичными ПФИ понимаются финансовые инструменты аналогичного вида, с тем же базисным активом, его количеством (если указанный ПФИ предусматривает количество базисного актива), с той же датой окончания срока исполнения контракта (договора), с той же ценой исполнения.  </w:t>
      </w:r>
    </w:p>
    <w:p w14:paraId="748D7C26" w14:textId="77777777" w:rsidR="00B23F01" w:rsidRPr="00BB1E15" w:rsidRDefault="00B23F01" w:rsidP="00B62BA5">
      <w:pPr>
        <w:autoSpaceDE w:val="0"/>
        <w:autoSpaceDN w:val="0"/>
        <w:adjustRightInd w:val="0"/>
        <w:ind w:firstLine="567"/>
        <w:jc w:val="both"/>
        <w:rPr>
          <w:rFonts w:ascii="Times New Roman" w:hAnsi="Times New Roman" w:cs="Times New Roman"/>
        </w:rPr>
      </w:pPr>
      <w:r w:rsidRPr="00BB1E15">
        <w:rPr>
          <w:rFonts w:ascii="Times New Roman" w:hAnsi="Times New Roman" w:cs="Times New Roman"/>
        </w:rPr>
        <w:t>Под исходными данными Уровня 3 понимаются:</w:t>
      </w:r>
    </w:p>
    <w:p w14:paraId="72E0B829" w14:textId="16A1ACB0"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ненаблюдаемые исходные данные для оцениваемого ПФИ;</w:t>
      </w:r>
    </w:p>
    <w:p w14:paraId="3205EE90" w14:textId="536A93AF"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исходные данные, которые Банк не может классифицировать в данные Уровня 1 и 2.</w:t>
      </w:r>
    </w:p>
    <w:p w14:paraId="289DD2EB" w14:textId="0B7B50FA"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lastRenderedPageBreak/>
        <w:t>Для определения дисконтных факторов в соответствии с Указанием</w:t>
      </w:r>
      <w:r w:rsidR="00924B98" w:rsidRPr="00BB1E15">
        <w:rPr>
          <w:rFonts w:ascii="Times New Roman" w:hAnsi="Times New Roman" w:cs="Times New Roman"/>
        </w:rPr>
        <w:t xml:space="preserve"> Банка России</w:t>
      </w:r>
      <w:r w:rsidRPr="00BB1E15">
        <w:rPr>
          <w:rFonts w:ascii="Times New Roman" w:hAnsi="Times New Roman" w:cs="Times New Roman"/>
        </w:rPr>
        <w:t xml:space="preserve"> №3413-У Банк использует следующие процентные ставки:</w:t>
      </w:r>
    </w:p>
    <w:p w14:paraId="49B15B96"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 Для коротких и средних временных интервалов (от 1 дня до 1 года) преимущественно используются индикативные ставки денежного рынка, такие как:</w:t>
      </w:r>
    </w:p>
    <w:p w14:paraId="341357A5" w14:textId="77777777" w:rsidR="00B23F01" w:rsidRPr="00BB1E15" w:rsidRDefault="00B23F01" w:rsidP="00B62BA5">
      <w:pPr>
        <w:autoSpaceDE w:val="0"/>
        <w:autoSpaceDN w:val="0"/>
        <w:adjustRightInd w:val="0"/>
        <w:ind w:left="567"/>
        <w:jc w:val="both"/>
        <w:rPr>
          <w:rFonts w:ascii="Times New Roman" w:hAnsi="Times New Roman" w:cs="Times New Roman"/>
          <w:bCs/>
        </w:rPr>
      </w:pPr>
      <w:r w:rsidRPr="00BB1E15">
        <w:rPr>
          <w:rFonts w:ascii="Times New Roman" w:hAnsi="Times New Roman" w:cs="Times New Roman"/>
          <w:bCs/>
        </w:rPr>
        <w:t xml:space="preserve">– для российских рублей: </w:t>
      </w:r>
      <w:r w:rsidRPr="00BB1E15">
        <w:rPr>
          <w:rFonts w:ascii="Times New Roman" w:hAnsi="Times New Roman" w:cs="Times New Roman"/>
          <w:bCs/>
          <w:lang w:val="en-US"/>
        </w:rPr>
        <w:t>RUONIA</w:t>
      </w:r>
      <w:r w:rsidRPr="00BB1E15">
        <w:rPr>
          <w:rFonts w:ascii="Times New Roman" w:hAnsi="Times New Roman" w:cs="Times New Roman"/>
          <w:bCs/>
        </w:rPr>
        <w:t>/</w:t>
      </w:r>
      <w:r w:rsidRPr="00BB1E15">
        <w:rPr>
          <w:rFonts w:ascii="Times New Roman" w:hAnsi="Times New Roman" w:cs="Times New Roman"/>
          <w:bCs/>
          <w:lang w:val="en-US"/>
        </w:rPr>
        <w:t>RUSFAR</w:t>
      </w:r>
      <w:r w:rsidRPr="00BB1E15">
        <w:rPr>
          <w:rFonts w:ascii="Times New Roman" w:hAnsi="Times New Roman" w:cs="Times New Roman"/>
          <w:bCs/>
        </w:rPr>
        <w:t xml:space="preserve"> (предпочтение отдается </w:t>
      </w:r>
      <w:r w:rsidRPr="00BB1E15">
        <w:rPr>
          <w:rFonts w:ascii="Times New Roman" w:hAnsi="Times New Roman" w:cs="Times New Roman"/>
          <w:bCs/>
          <w:lang w:val="en-US"/>
        </w:rPr>
        <w:t>RUONIA</w:t>
      </w:r>
      <w:r w:rsidRPr="00BB1E15">
        <w:rPr>
          <w:rFonts w:ascii="Times New Roman" w:hAnsi="Times New Roman" w:cs="Times New Roman"/>
          <w:bCs/>
        </w:rPr>
        <w:t>);</w:t>
      </w:r>
    </w:p>
    <w:p w14:paraId="651619B9" w14:textId="77777777" w:rsidR="00B23F01" w:rsidRPr="00BB1E15" w:rsidRDefault="00B23F01" w:rsidP="00B62BA5">
      <w:pPr>
        <w:autoSpaceDE w:val="0"/>
        <w:autoSpaceDN w:val="0"/>
        <w:adjustRightInd w:val="0"/>
        <w:ind w:left="567"/>
        <w:jc w:val="both"/>
        <w:rPr>
          <w:rFonts w:ascii="Times New Roman" w:hAnsi="Times New Roman" w:cs="Times New Roman"/>
          <w:bCs/>
        </w:rPr>
      </w:pPr>
      <w:r w:rsidRPr="00BB1E15">
        <w:rPr>
          <w:rFonts w:ascii="Times New Roman" w:hAnsi="Times New Roman" w:cs="Times New Roman"/>
          <w:bCs/>
        </w:rPr>
        <w:t xml:space="preserve">– для долларов США: </w:t>
      </w:r>
      <w:r w:rsidRPr="00BB1E15">
        <w:rPr>
          <w:rFonts w:ascii="Times New Roman" w:hAnsi="Times New Roman" w:cs="Times New Roman"/>
          <w:bCs/>
          <w:lang w:val="en-US"/>
        </w:rPr>
        <w:t>SOFR</w:t>
      </w:r>
      <w:r w:rsidRPr="00BB1E15">
        <w:rPr>
          <w:rFonts w:ascii="Times New Roman" w:hAnsi="Times New Roman" w:cs="Times New Roman"/>
          <w:bCs/>
        </w:rPr>
        <w:t>;</w:t>
      </w:r>
    </w:p>
    <w:p w14:paraId="1BE5C4AC" w14:textId="77777777" w:rsidR="00B23F01" w:rsidRPr="00BB1E15" w:rsidRDefault="00B23F01" w:rsidP="00B62BA5">
      <w:pPr>
        <w:autoSpaceDE w:val="0"/>
        <w:autoSpaceDN w:val="0"/>
        <w:adjustRightInd w:val="0"/>
        <w:ind w:left="567"/>
        <w:jc w:val="both"/>
        <w:rPr>
          <w:rFonts w:ascii="Times New Roman" w:hAnsi="Times New Roman" w:cs="Times New Roman"/>
          <w:bCs/>
        </w:rPr>
      </w:pPr>
      <w:r w:rsidRPr="00BB1E15">
        <w:rPr>
          <w:rFonts w:ascii="Times New Roman" w:hAnsi="Times New Roman" w:cs="Times New Roman"/>
          <w:bCs/>
        </w:rPr>
        <w:t xml:space="preserve">– для ЕВРО: </w:t>
      </w:r>
      <w:r w:rsidRPr="00BB1E15">
        <w:rPr>
          <w:rFonts w:ascii="Times New Roman" w:hAnsi="Times New Roman" w:cs="Times New Roman"/>
          <w:bCs/>
          <w:lang w:val="en-US"/>
        </w:rPr>
        <w:t>ESTR</w:t>
      </w:r>
      <w:r w:rsidRPr="00BB1E15">
        <w:rPr>
          <w:rFonts w:ascii="Times New Roman" w:hAnsi="Times New Roman" w:cs="Times New Roman"/>
          <w:bCs/>
        </w:rPr>
        <w:t>.</w:t>
      </w:r>
    </w:p>
    <w:p w14:paraId="58B6B4A1"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 Для длинных временных интервалов (свыше 1 года) используются доходности процентных своп-контрактов (договоров), базисным (базовым) активом которых является процентная ставка.</w:t>
      </w:r>
    </w:p>
    <w:p w14:paraId="743C5C87" w14:textId="77777777" w:rsidR="00B23F01" w:rsidRPr="00BB1E15" w:rsidRDefault="00B23F01" w:rsidP="00B62BA5">
      <w:pPr>
        <w:autoSpaceDE w:val="0"/>
        <w:autoSpaceDN w:val="0"/>
        <w:adjustRightInd w:val="0"/>
        <w:ind w:firstLine="567"/>
        <w:jc w:val="both"/>
        <w:rPr>
          <w:rFonts w:ascii="Times New Roman" w:hAnsi="Times New Roman" w:cs="Times New Roman"/>
          <w:bCs/>
        </w:rPr>
      </w:pPr>
      <w:r w:rsidRPr="00BB1E15">
        <w:rPr>
          <w:rFonts w:ascii="Times New Roman" w:hAnsi="Times New Roman" w:cs="Times New Roman"/>
          <w:bCs/>
        </w:rPr>
        <w:t>Для определения процентных ставок на сроках, отличных от стандартных, используется кривая процентных ставок в виде линейной интерполяции между двумя ближайшими стандартными сроками:</w:t>
      </w:r>
    </w:p>
    <w:p w14:paraId="4AB6914A" w14:textId="77777777" w:rsidR="00B23F01" w:rsidRPr="00BB1E15" w:rsidRDefault="00B23F01" w:rsidP="00B62BA5">
      <w:pPr>
        <w:ind w:firstLine="539"/>
        <w:jc w:val="both"/>
        <w:rPr>
          <w:rFonts w:ascii="Times New Roman" w:hAnsi="Times New Roman" w:cs="Times New Roman"/>
          <w:bCs/>
        </w:rPr>
      </w:pP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t</w:t>
      </w:r>
      <w:r w:rsidRPr="00BB1E15">
        <w:rPr>
          <w:rFonts w:ascii="Times New Roman" w:hAnsi="Times New Roman" w:cs="Times New Roman"/>
          <w:bCs/>
          <w:vertAlign w:val="subscript"/>
        </w:rPr>
        <w:t xml:space="preserve"> </w:t>
      </w:r>
      <w:r w:rsidRPr="00BB1E15">
        <w:rPr>
          <w:rFonts w:ascii="Times New Roman" w:hAnsi="Times New Roman" w:cs="Times New Roman"/>
          <w:bCs/>
        </w:rPr>
        <w:t>=</w:t>
      </w: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k</w:t>
      </w:r>
      <w:r w:rsidRPr="00BB1E15">
        <w:rPr>
          <w:rFonts w:ascii="Times New Roman" w:hAnsi="Times New Roman" w:cs="Times New Roman"/>
          <w:bCs/>
        </w:rPr>
        <w:t>+(</w:t>
      </w: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k</w:t>
      </w:r>
      <w:r w:rsidRPr="00BB1E15">
        <w:rPr>
          <w:rFonts w:ascii="Times New Roman" w:hAnsi="Times New Roman" w:cs="Times New Roman"/>
          <w:bCs/>
          <w:vertAlign w:val="subscript"/>
        </w:rPr>
        <w:t>+1</w:t>
      </w:r>
      <w:r w:rsidRPr="00BB1E15">
        <w:rPr>
          <w:rFonts w:ascii="Times New Roman" w:hAnsi="Times New Roman" w:cs="Times New Roman"/>
          <w:bCs/>
        </w:rPr>
        <w:t>-</w:t>
      </w: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k</w:t>
      </w:r>
      <w:r w:rsidRPr="00BB1E15">
        <w:rPr>
          <w:rFonts w:ascii="Times New Roman" w:hAnsi="Times New Roman" w:cs="Times New Roman"/>
          <w:bCs/>
        </w:rPr>
        <w:t>)*(</w:t>
      </w:r>
      <w:r w:rsidRPr="00BB1E15">
        <w:rPr>
          <w:rFonts w:ascii="Times New Roman" w:hAnsi="Times New Roman" w:cs="Times New Roman"/>
          <w:bCs/>
          <w:lang w:val="en-US"/>
        </w:rPr>
        <w:t>t</w:t>
      </w:r>
      <w:r w:rsidRPr="00BB1E15">
        <w:rPr>
          <w:rFonts w:ascii="Times New Roman" w:hAnsi="Times New Roman" w:cs="Times New Roman"/>
          <w:bCs/>
        </w:rPr>
        <w:t>-</w:t>
      </w:r>
      <w:r w:rsidRPr="00BB1E15">
        <w:rPr>
          <w:rFonts w:ascii="Times New Roman" w:hAnsi="Times New Roman" w:cs="Times New Roman"/>
          <w:bCs/>
          <w:lang w:val="en-US"/>
        </w:rPr>
        <w:t>t</w:t>
      </w:r>
      <w:r w:rsidRPr="00BB1E15">
        <w:rPr>
          <w:rFonts w:ascii="Times New Roman" w:hAnsi="Times New Roman" w:cs="Times New Roman"/>
          <w:bCs/>
          <w:vertAlign w:val="subscript"/>
          <w:lang w:val="en-US"/>
        </w:rPr>
        <w:t>k</w:t>
      </w:r>
      <w:r w:rsidRPr="00BB1E15">
        <w:rPr>
          <w:rFonts w:ascii="Times New Roman" w:hAnsi="Times New Roman" w:cs="Times New Roman"/>
          <w:bCs/>
        </w:rPr>
        <w:t>)/(</w:t>
      </w:r>
      <w:r w:rsidRPr="00BB1E15">
        <w:rPr>
          <w:rFonts w:ascii="Times New Roman" w:hAnsi="Times New Roman" w:cs="Times New Roman"/>
          <w:bCs/>
          <w:lang w:val="en-US"/>
        </w:rPr>
        <w:t>t</w:t>
      </w:r>
      <w:r w:rsidRPr="00BB1E15">
        <w:rPr>
          <w:rFonts w:ascii="Times New Roman" w:hAnsi="Times New Roman" w:cs="Times New Roman"/>
          <w:bCs/>
          <w:vertAlign w:val="subscript"/>
          <w:lang w:val="en-US"/>
        </w:rPr>
        <w:t>k</w:t>
      </w:r>
      <w:r w:rsidRPr="00BB1E15">
        <w:rPr>
          <w:rFonts w:ascii="Times New Roman" w:hAnsi="Times New Roman" w:cs="Times New Roman"/>
          <w:bCs/>
          <w:vertAlign w:val="subscript"/>
        </w:rPr>
        <w:t>+1</w:t>
      </w:r>
      <w:r w:rsidRPr="00BB1E15">
        <w:rPr>
          <w:rFonts w:ascii="Times New Roman" w:hAnsi="Times New Roman" w:cs="Times New Roman"/>
          <w:bCs/>
        </w:rPr>
        <w:t>-</w:t>
      </w:r>
      <w:r w:rsidRPr="00BB1E15">
        <w:rPr>
          <w:rFonts w:ascii="Times New Roman" w:hAnsi="Times New Roman" w:cs="Times New Roman"/>
          <w:bCs/>
          <w:lang w:val="en-US"/>
        </w:rPr>
        <w:t>t</w:t>
      </w:r>
      <w:r w:rsidRPr="00BB1E15">
        <w:rPr>
          <w:rFonts w:ascii="Times New Roman" w:hAnsi="Times New Roman" w:cs="Times New Roman"/>
          <w:bCs/>
          <w:vertAlign w:val="subscript"/>
          <w:lang w:val="en-US"/>
        </w:rPr>
        <w:t>k</w:t>
      </w:r>
      <w:r w:rsidRPr="00BB1E15">
        <w:rPr>
          <w:rFonts w:ascii="Times New Roman" w:hAnsi="Times New Roman" w:cs="Times New Roman"/>
          <w:bCs/>
        </w:rPr>
        <w:t>), где:</w:t>
      </w:r>
    </w:p>
    <w:p w14:paraId="58F0B39A" w14:textId="77777777" w:rsidR="00B23F01" w:rsidRPr="00BB1E15" w:rsidRDefault="00B23F01" w:rsidP="00B62BA5">
      <w:pPr>
        <w:autoSpaceDE w:val="0"/>
        <w:autoSpaceDN w:val="0"/>
        <w:adjustRightInd w:val="0"/>
        <w:ind w:firstLine="539"/>
        <w:jc w:val="both"/>
        <w:rPr>
          <w:rFonts w:ascii="Times New Roman" w:hAnsi="Times New Roman" w:cs="Times New Roman"/>
          <w:bCs/>
        </w:rPr>
      </w:pP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t</w:t>
      </w:r>
      <w:r w:rsidRPr="00BB1E15">
        <w:rPr>
          <w:rFonts w:ascii="Times New Roman" w:hAnsi="Times New Roman" w:cs="Times New Roman"/>
          <w:bCs/>
        </w:rPr>
        <w:t xml:space="preserve"> – значение искомой процентной ставки, соответствующее нестандартному сроку t;</w:t>
      </w:r>
    </w:p>
    <w:p w14:paraId="2526EE1E" w14:textId="77777777" w:rsidR="00B23F01" w:rsidRPr="00BB1E15" w:rsidRDefault="00B23F01" w:rsidP="00B62BA5">
      <w:pPr>
        <w:autoSpaceDE w:val="0"/>
        <w:autoSpaceDN w:val="0"/>
        <w:adjustRightInd w:val="0"/>
        <w:ind w:firstLine="539"/>
        <w:jc w:val="both"/>
        <w:rPr>
          <w:rFonts w:ascii="Times New Roman" w:hAnsi="Times New Roman" w:cs="Times New Roman"/>
          <w:bCs/>
        </w:rPr>
      </w:pP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k</w:t>
      </w:r>
      <w:r w:rsidRPr="00BB1E15">
        <w:rPr>
          <w:rFonts w:ascii="Times New Roman" w:hAnsi="Times New Roman" w:cs="Times New Roman"/>
          <w:bCs/>
        </w:rPr>
        <w:t xml:space="preserve"> – значение процентной ставки, соответствующей стандартному сроку tk&lt;t;</w:t>
      </w:r>
    </w:p>
    <w:p w14:paraId="6189C033" w14:textId="77777777" w:rsidR="00B23F01" w:rsidRPr="00BB1E15" w:rsidRDefault="00B23F01" w:rsidP="00B62BA5">
      <w:pPr>
        <w:autoSpaceDE w:val="0"/>
        <w:autoSpaceDN w:val="0"/>
        <w:adjustRightInd w:val="0"/>
        <w:ind w:firstLine="539"/>
        <w:jc w:val="both"/>
        <w:rPr>
          <w:rFonts w:ascii="Times New Roman" w:hAnsi="Times New Roman" w:cs="Times New Roman"/>
          <w:bCs/>
        </w:rPr>
      </w:pPr>
      <w:r w:rsidRPr="00BB1E15">
        <w:rPr>
          <w:rFonts w:ascii="Times New Roman" w:hAnsi="Times New Roman" w:cs="Times New Roman"/>
          <w:bCs/>
          <w:lang w:val="en-US"/>
        </w:rPr>
        <w:t>R</w:t>
      </w:r>
      <w:r w:rsidRPr="00BB1E15">
        <w:rPr>
          <w:rFonts w:ascii="Times New Roman" w:hAnsi="Times New Roman" w:cs="Times New Roman"/>
          <w:bCs/>
          <w:vertAlign w:val="subscript"/>
          <w:lang w:val="en-US"/>
        </w:rPr>
        <w:t>k</w:t>
      </w:r>
      <w:r w:rsidRPr="00BB1E15">
        <w:rPr>
          <w:rFonts w:ascii="Times New Roman" w:hAnsi="Times New Roman" w:cs="Times New Roman"/>
          <w:bCs/>
          <w:vertAlign w:val="subscript"/>
        </w:rPr>
        <w:t>+1</w:t>
      </w:r>
      <w:r w:rsidRPr="00BB1E15">
        <w:rPr>
          <w:rFonts w:ascii="Times New Roman" w:hAnsi="Times New Roman" w:cs="Times New Roman"/>
          <w:bCs/>
        </w:rPr>
        <w:t xml:space="preserve">– значение процентной ставки, соответствующей стандартному сроку </w:t>
      </w:r>
      <w:r w:rsidRPr="00BB1E15">
        <w:rPr>
          <w:rFonts w:ascii="Times New Roman" w:hAnsi="Times New Roman" w:cs="Times New Roman"/>
          <w:bCs/>
          <w:lang w:val="en-US"/>
        </w:rPr>
        <w:t>t</w:t>
      </w:r>
      <w:r w:rsidRPr="00BB1E15">
        <w:rPr>
          <w:rFonts w:ascii="Times New Roman" w:hAnsi="Times New Roman" w:cs="Times New Roman"/>
          <w:bCs/>
          <w:vertAlign w:val="subscript"/>
          <w:lang w:val="en-US"/>
        </w:rPr>
        <w:t>k</w:t>
      </w:r>
      <w:r w:rsidRPr="00BB1E15">
        <w:rPr>
          <w:rFonts w:ascii="Times New Roman" w:hAnsi="Times New Roman" w:cs="Times New Roman"/>
          <w:bCs/>
          <w:vertAlign w:val="subscript"/>
        </w:rPr>
        <w:t>+1</w:t>
      </w:r>
      <w:r w:rsidRPr="00BB1E15">
        <w:rPr>
          <w:rFonts w:ascii="Times New Roman" w:hAnsi="Times New Roman" w:cs="Times New Roman"/>
          <w:bCs/>
        </w:rPr>
        <w:t>&gt;t;</w:t>
      </w:r>
    </w:p>
    <w:p w14:paraId="7C9F536B" w14:textId="77777777" w:rsidR="00B23F01" w:rsidRPr="00BB1E15" w:rsidRDefault="00B23F01" w:rsidP="00B62BA5">
      <w:pPr>
        <w:autoSpaceDE w:val="0"/>
        <w:autoSpaceDN w:val="0"/>
        <w:adjustRightInd w:val="0"/>
        <w:ind w:firstLine="539"/>
        <w:jc w:val="both"/>
        <w:rPr>
          <w:rFonts w:ascii="Times New Roman" w:hAnsi="Times New Roman" w:cs="Times New Roman"/>
          <w:bCs/>
        </w:rPr>
      </w:pPr>
      <w:r w:rsidRPr="00BB1E15">
        <w:rPr>
          <w:rFonts w:ascii="Times New Roman" w:hAnsi="Times New Roman" w:cs="Times New Roman"/>
          <w:bCs/>
          <w:lang w:val="en-US"/>
        </w:rPr>
        <w:t>t</w:t>
      </w:r>
      <w:r w:rsidRPr="00BB1E15">
        <w:rPr>
          <w:rFonts w:ascii="Times New Roman" w:hAnsi="Times New Roman" w:cs="Times New Roman"/>
          <w:bCs/>
          <w:vertAlign w:val="subscript"/>
          <w:lang w:val="en-US"/>
        </w:rPr>
        <w:t>k</w:t>
      </w:r>
      <w:r w:rsidRPr="00BB1E15">
        <w:rPr>
          <w:rFonts w:ascii="Times New Roman" w:hAnsi="Times New Roman" w:cs="Times New Roman"/>
          <w:bCs/>
          <w:vertAlign w:val="subscript"/>
        </w:rPr>
        <w:t>+1</w:t>
      </w:r>
      <w:r w:rsidRPr="00BB1E15">
        <w:rPr>
          <w:rFonts w:ascii="Times New Roman" w:hAnsi="Times New Roman" w:cs="Times New Roman"/>
          <w:bCs/>
        </w:rPr>
        <w:t xml:space="preserve">и </w:t>
      </w:r>
      <w:r w:rsidRPr="00BB1E15">
        <w:rPr>
          <w:rFonts w:ascii="Times New Roman" w:hAnsi="Times New Roman" w:cs="Times New Roman"/>
          <w:bCs/>
          <w:lang w:val="en-US"/>
        </w:rPr>
        <w:t>t</w:t>
      </w:r>
      <w:r w:rsidRPr="00BB1E15">
        <w:rPr>
          <w:rFonts w:ascii="Times New Roman" w:hAnsi="Times New Roman" w:cs="Times New Roman"/>
          <w:bCs/>
          <w:vertAlign w:val="subscript"/>
          <w:lang w:val="en-US"/>
        </w:rPr>
        <w:t>k</w:t>
      </w:r>
      <w:r w:rsidRPr="00BB1E15">
        <w:rPr>
          <w:rFonts w:ascii="Times New Roman" w:hAnsi="Times New Roman" w:cs="Times New Roman"/>
          <w:bCs/>
        </w:rPr>
        <w:t xml:space="preserve"> – ближайшие к нестандартному сроку (t) стандартные сроки.</w:t>
      </w:r>
    </w:p>
    <w:p w14:paraId="0750297C" w14:textId="12D6B1DC"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Форвард на валютную пару:</w:t>
      </w:r>
    </w:p>
    <w:p w14:paraId="29542608" w14:textId="77777777" w:rsidR="00B23F01" w:rsidRPr="00BB1E15" w:rsidRDefault="00B23F01" w:rsidP="00B62BA5">
      <w:pPr>
        <w:autoSpaceDE w:val="0"/>
        <w:autoSpaceDN w:val="0"/>
        <w:adjustRightInd w:val="0"/>
        <w:ind w:firstLine="567"/>
        <w:jc w:val="both"/>
        <w:rPr>
          <w:rFonts w:ascii="Times New Roman" w:hAnsi="Times New Roman" w:cs="Times New Roman"/>
          <w:bCs/>
        </w:rPr>
      </w:pPr>
      <w:r w:rsidRPr="00BB1E15">
        <w:rPr>
          <w:rFonts w:ascii="Times New Roman" w:hAnsi="Times New Roman" w:cs="Times New Roman"/>
          <w:bCs/>
        </w:rPr>
        <w:t>Справедливая стоимость форвардного контракта, базисным активом которого является иностранная валюта, (</w:t>
      </w:r>
      <w:r w:rsidRPr="00BB1E15">
        <w:rPr>
          <w:rFonts w:ascii="Times New Roman" w:hAnsi="Times New Roman" w:cs="Times New Roman"/>
          <w:bCs/>
          <w:lang w:val="en-US"/>
        </w:rPr>
        <w:t>F</w:t>
      </w:r>
      <w:r w:rsidRPr="00BB1E15">
        <w:rPr>
          <w:rFonts w:ascii="Times New Roman" w:hAnsi="Times New Roman" w:cs="Times New Roman"/>
          <w:bCs/>
        </w:rPr>
        <w:t>) представляет собой дисконтированную на дату оценки разницу расчетной цены (Р) и цены сделки, умноженную на количество единиц базового актива.</w:t>
      </w:r>
    </w:p>
    <w:p w14:paraId="1C43CC49" w14:textId="77777777" w:rsidR="00B23F01" w:rsidRPr="00BB1E15" w:rsidRDefault="00B23F01" w:rsidP="00B62BA5">
      <w:pPr>
        <w:autoSpaceDE w:val="0"/>
        <w:autoSpaceDN w:val="0"/>
        <w:adjustRightInd w:val="0"/>
        <w:jc w:val="both"/>
        <w:rPr>
          <w:rFonts w:ascii="Times New Roman" w:hAnsi="Times New Roman" w:cs="Times New Roman"/>
        </w:rPr>
      </w:pPr>
      <m:oMath>
        <m:r>
          <m:rPr>
            <m:sty m:val="p"/>
          </m:rPr>
          <w:rPr>
            <w:rFonts w:ascii="Cambria Math" w:hAnsi="Cambria Math" w:cs="Times New Roman"/>
            <w:lang w:val="en-US"/>
          </w:rPr>
          <m:t>F</m:t>
        </m:r>
        <m:r>
          <m:rPr>
            <m:sty m:val="p"/>
          </m:rPr>
          <w:rPr>
            <w:rFonts w:ascii="Cambria Math" w:hAnsi="Cambria Math" w:cs="Times New Roman"/>
          </w:rPr>
          <m:t>= N*</m:t>
        </m:r>
        <m:d>
          <m:dPr>
            <m:ctrlPr>
              <w:rPr>
                <w:rFonts w:ascii="Cambria Math" w:hAnsi="Cambria Math" w:cs="Times New Roman"/>
              </w:rPr>
            </m:ctrlPr>
          </m:dPr>
          <m:e>
            <m:r>
              <m:rPr>
                <m:sty m:val="p"/>
              </m:rPr>
              <w:rPr>
                <w:rFonts w:ascii="Cambria Math" w:hAnsi="Cambria Math" w:cs="Times New Roman"/>
                <w:lang w:val="en-US"/>
              </w:rPr>
              <m:t>P</m:t>
            </m:r>
            <m:r>
              <m:rPr>
                <m:sty m:val="p"/>
              </m:rPr>
              <w:rPr>
                <w:rFonts w:ascii="Cambria Math" w:hAnsi="Cambria Math" w:cs="Times New Roman"/>
              </w:rPr>
              <m:t>-</m:t>
            </m:r>
            <m:r>
              <m:rPr>
                <m:sty m:val="p"/>
              </m:rPr>
              <w:rPr>
                <w:rFonts w:ascii="Cambria Math" w:hAnsi="Cambria Math" w:cs="Times New Roman"/>
                <w:lang w:val="en-US"/>
              </w:rPr>
              <m:t>K</m:t>
            </m:r>
            <m:ctrlPr>
              <w:rPr>
                <w:rFonts w:ascii="Cambria Math" w:hAnsi="Cambria Math" w:cs="Times New Roman"/>
                <w:lang w:val="en-US"/>
              </w:rPr>
            </m:ctrlPr>
          </m:e>
        </m:d>
        <m:r>
          <m:rPr>
            <m:sty m:val="p"/>
          </m:rPr>
          <w:rPr>
            <w:rFonts w:ascii="Cambria Math" w:hAnsi="Cambria Math" w:cs="Times New Roman"/>
          </w:rPr>
          <m:t>*</m:t>
        </m:r>
        <m:sSup>
          <m:sSupPr>
            <m:ctrlPr>
              <w:rPr>
                <w:rFonts w:ascii="Cambria Math" w:hAnsi="Cambria Math" w:cs="Times New Roman"/>
                <w:lang w:val="en-US"/>
              </w:rPr>
            </m:ctrlPr>
          </m:sSupPr>
          <m:e>
            <m:r>
              <m:rPr>
                <m:sty m:val="p"/>
              </m:rPr>
              <w:rPr>
                <w:rFonts w:ascii="Cambria Math" w:hAnsi="Cambria Math" w:cs="Times New Roman"/>
                <w:lang w:val="en-US"/>
              </w:rPr>
              <m:t>exp</m:t>
            </m:r>
          </m:e>
          <m:sup>
            <m:r>
              <m:rPr>
                <m:sty m:val="p"/>
              </m:rPr>
              <w:rPr>
                <w:rFonts w:ascii="Cambria Math" w:hAnsi="Cambria Math" w:cs="Times New Roman"/>
              </w:rPr>
              <m:t>-</m:t>
            </m:r>
            <m:r>
              <m:rPr>
                <m:sty m:val="p"/>
              </m:rPr>
              <w:rPr>
                <w:rFonts w:ascii="Cambria Math" w:hAnsi="Cambria Math" w:cs="Times New Roman"/>
                <w:lang w:val="en-US"/>
              </w:rPr>
              <m:t>rT</m:t>
            </m:r>
          </m:sup>
        </m:sSup>
      </m:oMath>
      <w:r w:rsidRPr="00BB1E15">
        <w:rPr>
          <w:rFonts w:ascii="Times New Roman" w:eastAsiaTheme="minorEastAsia" w:hAnsi="Times New Roman" w:cs="Times New Roman"/>
        </w:rPr>
        <w:t xml:space="preserve"> , где:</w:t>
      </w:r>
    </w:p>
    <w:p w14:paraId="7000DC04"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K – цена сделки;</w:t>
      </w:r>
    </w:p>
    <w:p w14:paraId="294A4233" w14:textId="7DA1FE0F"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r – процентная ставка, рассчитанная в соответствии с учетной политикой налогоплательщика для целей налогообложения, на основании индикаторов (котировок) SOFR (обеспеченная ставка овернайт в долларах США), ESTR (краткосрочная ставка в евро), SONIA (средняя ставка овернайт в фунтах стерлингов), TONAR (средняя ставка овернайт в японских иенах), SARON (средняя ставка овернайт в швейцарских франках), RUONIA, RUSFAR (процентные ставки в российских рублях), своп-договоров (контрактов), форвардных договоров (контрактов) или фьючерсных договоров (контрактов), базисным (базовым) активом которых является процентная ставка, и (или) иных индикаторов процентных ставок (в долях единицы), соответствующих сроку исполнения форвардного договора (контракта);</w:t>
      </w:r>
    </w:p>
    <w:p w14:paraId="20DA5F7E"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T – срок исполнения форвардного договора (контракта) в годах, рассчитанный по финансовой базе валюты, в которой выражена цена ПФИ.</w:t>
      </w:r>
    </w:p>
    <w:p w14:paraId="748E2AC1"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lang w:val="en-US"/>
        </w:rPr>
        <w:t>N</w:t>
      </w:r>
      <w:r w:rsidRPr="00BB1E15">
        <w:rPr>
          <w:rFonts w:ascii="Times New Roman" w:hAnsi="Times New Roman" w:cs="Times New Roman"/>
        </w:rPr>
        <w:t xml:space="preserve"> – количество единиц базового актива;</w:t>
      </w:r>
    </w:p>
    <w:p w14:paraId="0D0B20FB"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Р – расчетная цена форвардного договора (контракта), базисным (базовым) активом которого является иностранная валюта, рассчитывается по следующей формуле:</w:t>
      </w:r>
    </w:p>
    <w:p w14:paraId="7EFD0230" w14:textId="77777777" w:rsidR="00B23F01" w:rsidRPr="00B23F01" w:rsidRDefault="00B23F01" w:rsidP="00B62BA5">
      <w:pPr>
        <w:autoSpaceDE w:val="0"/>
        <w:autoSpaceDN w:val="0"/>
        <w:adjustRightInd w:val="0"/>
        <w:ind w:firstLine="540"/>
        <w:jc w:val="both"/>
        <w:rPr>
          <w:rFonts w:ascii="Times New Roman" w:hAnsi="Times New Roman" w:cs="Times New Roman"/>
          <w:sz w:val="20"/>
          <w:szCs w:val="20"/>
        </w:rPr>
      </w:pPr>
      <w:r w:rsidRPr="00B23F01">
        <w:rPr>
          <w:rFonts w:ascii="Times New Roman" w:hAnsi="Times New Roman" w:cs="Times New Roman"/>
          <w:noProof/>
          <w:position w:val="-27"/>
          <w:sz w:val="20"/>
          <w:szCs w:val="20"/>
        </w:rPr>
        <w:drawing>
          <wp:inline distT="0" distB="0" distL="0" distR="0" wp14:anchorId="3CD09368" wp14:editId="28B3DF9D">
            <wp:extent cx="1152525" cy="50482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52525" cy="504825"/>
                    </a:xfrm>
                    <a:prstGeom prst="rect">
                      <a:avLst/>
                    </a:prstGeom>
                    <a:noFill/>
                    <a:ln w="9525">
                      <a:noFill/>
                      <a:miter lim="800000"/>
                      <a:headEnd/>
                      <a:tailEnd/>
                    </a:ln>
                  </pic:spPr>
                </pic:pic>
              </a:graphicData>
            </a:graphic>
          </wp:inline>
        </w:drawing>
      </w:r>
      <w:r w:rsidRPr="00B23F01">
        <w:rPr>
          <w:rFonts w:ascii="Times New Roman" w:hAnsi="Times New Roman" w:cs="Times New Roman"/>
          <w:sz w:val="20"/>
          <w:szCs w:val="20"/>
        </w:rPr>
        <w:t>, где:</w:t>
      </w:r>
    </w:p>
    <w:p w14:paraId="4B49F6CE" w14:textId="77777777" w:rsidR="00B23F01" w:rsidRPr="00BB1E15" w:rsidRDefault="00B23F01" w:rsidP="00B62BA5">
      <w:pPr>
        <w:pStyle w:val="Default"/>
        <w:jc w:val="both"/>
        <w:rPr>
          <w:rFonts w:ascii="Times New Roman" w:hAnsi="Times New Roman" w:cs="Times New Roman"/>
        </w:rPr>
      </w:pPr>
      <w:r w:rsidRPr="00BB1E15">
        <w:rPr>
          <w:rFonts w:ascii="Times New Roman" w:hAnsi="Times New Roman" w:cs="Times New Roman"/>
        </w:rPr>
        <w:t xml:space="preserve">S - курс валюты, являющейся базисным (базовым) активом форвардного договора (контракта), выраженный в валюте платежа по этому договору (контракту); </w:t>
      </w:r>
    </w:p>
    <w:p w14:paraId="6F8E10FA"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Курс иностранной валюты к российскому рублю (другой иностранной валюте), используемый для определения расчетной цены финансовых инструментов срочных сделок, принимает значение официального курса, установленного Банком России на дату совершения Банком операции с финансовым инструментом срочных сделок.</w:t>
      </w:r>
    </w:p>
    <w:p w14:paraId="382E4659" w14:textId="77777777" w:rsidR="00B23F01" w:rsidRPr="00BB1E15" w:rsidRDefault="000C639C" w:rsidP="00B62BA5">
      <w:pPr>
        <w:pStyle w:val="Default"/>
        <w:jc w:val="both"/>
        <w:rPr>
          <w:rFonts w:ascii="Times New Roman" w:hAnsi="Times New Roman" w:cs="Times New Roman"/>
        </w:rPr>
      </w:pPr>
      <m:oMath>
        <m:sSup>
          <m:sSupPr>
            <m:ctrlPr>
              <w:rPr>
                <w:rFonts w:ascii="Cambria Math" w:hAnsi="Cambria Math" w:cs="Times New Roman"/>
                <w:bCs/>
              </w:rPr>
            </m:ctrlPr>
          </m:sSupPr>
          <m:e>
            <m:r>
              <m:rPr>
                <m:sty m:val="p"/>
              </m:rPr>
              <w:rPr>
                <w:rFonts w:ascii="Cambria Math" w:hAnsi="Cambria Math" w:cs="Times New Roman"/>
              </w:rPr>
              <m:t>DF</m:t>
            </m:r>
          </m:e>
          <m:sup>
            <m:r>
              <m:rPr>
                <m:sty m:val="p"/>
              </m:rPr>
              <w:rPr>
                <w:rFonts w:ascii="Cambria Math" w:hAnsi="Cambria Math" w:cs="Times New Roman"/>
              </w:rPr>
              <m:t>(1)</m:t>
            </m:r>
          </m:sup>
        </m:sSup>
      </m:oMath>
      <w:r w:rsidR="00B23F01" w:rsidRPr="00BB1E15">
        <w:rPr>
          <w:rFonts w:ascii="Times New Roman" w:hAnsi="Times New Roman" w:cs="Times New Roman"/>
          <w:bCs/>
        </w:rPr>
        <w:t xml:space="preserve">- </w:t>
      </w:r>
      <w:r w:rsidR="00B23F01" w:rsidRPr="00BB1E15">
        <w:rPr>
          <w:rFonts w:ascii="Times New Roman" w:hAnsi="Times New Roman" w:cs="Times New Roman"/>
        </w:rPr>
        <w:t xml:space="preserve">дисконтный фактор для валюты, являющейся базисным (базовым) активом форвардного договора (контракта); </w:t>
      </w:r>
    </w:p>
    <w:p w14:paraId="624DA42A" w14:textId="77777777" w:rsidR="00B23F01" w:rsidRPr="00BB1E15" w:rsidRDefault="000C639C" w:rsidP="00B62BA5">
      <w:pPr>
        <w:autoSpaceDE w:val="0"/>
        <w:autoSpaceDN w:val="0"/>
        <w:adjustRightInd w:val="0"/>
        <w:jc w:val="both"/>
        <w:rPr>
          <w:rFonts w:ascii="Times New Roman" w:hAnsi="Times New Roman" w:cs="Times New Roman"/>
          <w:bCs/>
          <w:iCs/>
        </w:rPr>
      </w:pPr>
      <m:oMath>
        <m:sSup>
          <m:sSupPr>
            <m:ctrlPr>
              <w:rPr>
                <w:rFonts w:ascii="Cambria Math" w:hAnsi="Cambria Math" w:cs="Times New Roman"/>
                <w:bCs/>
              </w:rPr>
            </m:ctrlPr>
          </m:sSupPr>
          <m:e>
            <m:r>
              <m:rPr>
                <m:sty m:val="p"/>
              </m:rPr>
              <w:rPr>
                <w:rFonts w:ascii="Cambria Math" w:hAnsi="Cambria Math" w:cs="Times New Roman"/>
              </w:rPr>
              <m:t>DF</m:t>
            </m:r>
          </m:e>
          <m:sup>
            <m:r>
              <m:rPr>
                <m:sty m:val="p"/>
              </m:rPr>
              <w:rPr>
                <w:rFonts w:ascii="Cambria Math" w:hAnsi="Cambria Math" w:cs="Times New Roman"/>
              </w:rPr>
              <m:t>(2)</m:t>
            </m:r>
          </m:sup>
        </m:sSup>
        <m:r>
          <m:rPr>
            <m:sty m:val="p"/>
          </m:rPr>
          <w:rPr>
            <w:rFonts w:ascii="Cambria Math" w:hAnsi="Cambria Math" w:cs="Times New Roman"/>
          </w:rPr>
          <m:t xml:space="preserve"> </m:t>
        </m:r>
      </m:oMath>
      <w:r w:rsidR="00B23F01" w:rsidRPr="00BB1E15">
        <w:rPr>
          <w:rFonts w:ascii="Times New Roman" w:hAnsi="Times New Roman" w:cs="Times New Roman"/>
        </w:rPr>
        <w:t>- дисконтный фактор для валюты платежа по форвардному договору (контракту).</w:t>
      </w:r>
    </w:p>
    <w:p w14:paraId="579FC54F" w14:textId="77777777" w:rsidR="00B23F01" w:rsidRPr="00BB1E15" w:rsidRDefault="00B23F01" w:rsidP="00B62BA5">
      <w:pPr>
        <w:pStyle w:val="Default"/>
        <w:jc w:val="both"/>
        <w:rPr>
          <w:rFonts w:ascii="Times New Roman" w:hAnsi="Times New Roman" w:cs="Times New Roman"/>
        </w:rPr>
      </w:pPr>
      <w:r w:rsidRPr="00BB1E15">
        <w:rPr>
          <w:rFonts w:ascii="Times New Roman" w:hAnsi="Times New Roman" w:cs="Times New Roman"/>
        </w:rPr>
        <w:t>Дисконтный фактор для валюты, в которой выражена цена ПФИ, (</w:t>
      </w:r>
      <w:r w:rsidRPr="00BB1E15">
        <w:rPr>
          <w:rFonts w:ascii="Times New Roman" w:hAnsi="Times New Roman" w:cs="Times New Roman"/>
          <w:lang w:val="en-US"/>
        </w:rPr>
        <w:t>DF</w:t>
      </w:r>
      <w:r w:rsidRPr="00BB1E15">
        <w:rPr>
          <w:rFonts w:ascii="Times New Roman" w:hAnsi="Times New Roman" w:cs="Times New Roman"/>
        </w:rPr>
        <w:t xml:space="preserve">) определяется по формуле: </w:t>
      </w:r>
    </w:p>
    <w:p w14:paraId="276150AD" w14:textId="77777777" w:rsidR="00B23F01" w:rsidRPr="00B23F01" w:rsidRDefault="00B23F01" w:rsidP="00B62BA5">
      <w:pPr>
        <w:autoSpaceDE w:val="0"/>
        <w:autoSpaceDN w:val="0"/>
        <w:adjustRightInd w:val="0"/>
        <w:ind w:firstLine="540"/>
        <w:jc w:val="both"/>
        <w:rPr>
          <w:rFonts w:ascii="Times New Roman" w:hAnsi="Times New Roman" w:cs="Times New Roman"/>
          <w:sz w:val="20"/>
          <w:szCs w:val="20"/>
        </w:rPr>
      </w:pPr>
      <w:r w:rsidRPr="00B23F01">
        <w:rPr>
          <w:rFonts w:ascii="Times New Roman" w:hAnsi="Times New Roman" w:cs="Times New Roman"/>
          <w:noProof/>
          <w:position w:val="-24"/>
          <w:sz w:val="20"/>
          <w:szCs w:val="20"/>
        </w:rPr>
        <w:drawing>
          <wp:inline distT="0" distB="0" distL="0" distR="0" wp14:anchorId="179653EB" wp14:editId="7D1E1597">
            <wp:extent cx="1519555" cy="4667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519555" cy="466725"/>
                    </a:xfrm>
                    <a:prstGeom prst="rect">
                      <a:avLst/>
                    </a:prstGeom>
                    <a:noFill/>
                    <a:ln w="9525">
                      <a:noFill/>
                      <a:miter lim="800000"/>
                      <a:headEnd/>
                      <a:tailEnd/>
                    </a:ln>
                  </pic:spPr>
                </pic:pic>
              </a:graphicData>
            </a:graphic>
          </wp:inline>
        </w:drawing>
      </w:r>
      <w:r w:rsidRPr="00B23F01">
        <w:rPr>
          <w:rFonts w:ascii="Times New Roman" w:hAnsi="Times New Roman" w:cs="Times New Roman"/>
          <w:sz w:val="20"/>
          <w:szCs w:val="20"/>
        </w:rPr>
        <w:t>, где:</w:t>
      </w:r>
    </w:p>
    <w:p w14:paraId="5B60C2AE"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xml:space="preserve">r – процентная ставка, рассчитанная в соответствии с учетной политикой налогоплательщика для целей налогообложения, на основании индикаторов (котировок) SOFR (обеспеченная ставка овернайт в долларах США), ESTR (краткосрочная ставка в евро), SONIA (средняя ставка овернайт в фунтах стерлингов), TONAR (средняя ставка овернайт в японских иенах), SARON (средняя ставка </w:t>
      </w:r>
      <w:r w:rsidRPr="00BB1E15">
        <w:rPr>
          <w:rFonts w:ascii="Times New Roman" w:hAnsi="Times New Roman" w:cs="Times New Roman"/>
        </w:rPr>
        <w:lastRenderedPageBreak/>
        <w:t>овернайт в швейцарских франках), RUONIA, RUSFAR (процентные ставки в российских рублях), своп-договоров (контрактов), форвардных договоров (контрактов) или фьючерсных договоров (контрактов), базисным (базовым) активом которых является процентная ставка, и (или) иных индикаторов процентных ставок (в долях единицы), соответствующих сроку исполнения форвардного договора (контракта)</w:t>
      </w:r>
    </w:p>
    <w:p w14:paraId="2A197224" w14:textId="77777777" w:rsidR="00B23F01" w:rsidRPr="00BB1E15" w:rsidRDefault="00B23F01" w:rsidP="00B62BA5">
      <w:pPr>
        <w:autoSpaceDE w:val="0"/>
        <w:autoSpaceDN w:val="0"/>
        <w:adjustRightInd w:val="0"/>
        <w:jc w:val="both"/>
        <w:rPr>
          <w:rFonts w:ascii="Times New Roman" w:hAnsi="Times New Roman" w:cs="Times New Roman"/>
          <w:bCs/>
          <w:iCs/>
        </w:rPr>
      </w:pPr>
      <w:r w:rsidRPr="00BB1E15">
        <w:rPr>
          <w:rFonts w:ascii="Times New Roman" w:hAnsi="Times New Roman" w:cs="Times New Roman"/>
        </w:rPr>
        <w:t>YFC - срок исполнения форвардного договора (контракта) в годах, рассчитанный по финансовой базе валюты, в которой выражена цена ПФИ (для российских рублей – 365 дней, для иностранных валют – 360 дней).</w:t>
      </w:r>
    </w:p>
    <w:p w14:paraId="2D3C9C41" w14:textId="74D61E2D"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Форвард на ценные бумаги:</w:t>
      </w:r>
    </w:p>
    <w:p w14:paraId="094346E7" w14:textId="77777777" w:rsidR="00B23F01" w:rsidRPr="00BB1E15" w:rsidRDefault="00B23F01" w:rsidP="00B62BA5">
      <w:pPr>
        <w:pStyle w:val="Default"/>
        <w:jc w:val="both"/>
        <w:rPr>
          <w:rFonts w:ascii="Times New Roman" w:hAnsi="Times New Roman" w:cs="Times New Roman"/>
        </w:rPr>
      </w:pPr>
      <w:r w:rsidRPr="00BB1E15">
        <w:rPr>
          <w:rFonts w:ascii="Times New Roman" w:hAnsi="Times New Roman" w:cs="Times New Roman"/>
          <w:lang w:bidi="ru-RU"/>
        </w:rPr>
        <w:t>Справедливая стоимость форвардного договора с ценными бумагами (F) представляет собой дисконтированную на дату</w:t>
      </w:r>
      <w:r w:rsidRPr="00BB1E15">
        <w:rPr>
          <w:rFonts w:ascii="Times New Roman" w:hAnsi="Times New Roman" w:cs="Times New Roman"/>
        </w:rPr>
        <w:t xml:space="preserve"> оценки разницу расчетной цены (Р) и цены сделки, умноженную на количество ценных бумаг. При этом расчетная цена (Р) форвардного договора с ценными бумагами должна учитывать будущие купонные, дивидендные и другие платежи по ценным бумагам.</w:t>
      </w:r>
    </w:p>
    <w:p w14:paraId="7503C4DC" w14:textId="77777777" w:rsidR="00B23F01" w:rsidRPr="00BB1E15" w:rsidRDefault="00B23F01" w:rsidP="00B62BA5">
      <w:pPr>
        <w:autoSpaceDE w:val="0"/>
        <w:autoSpaceDN w:val="0"/>
        <w:adjustRightInd w:val="0"/>
        <w:jc w:val="both"/>
        <w:rPr>
          <w:rFonts w:ascii="Times New Roman" w:hAnsi="Times New Roman" w:cs="Times New Roman"/>
        </w:rPr>
      </w:pPr>
      <m:oMath>
        <m:r>
          <m:rPr>
            <m:sty m:val="p"/>
          </m:rPr>
          <w:rPr>
            <w:rFonts w:ascii="Cambria Math" w:hAnsi="Cambria Math" w:cs="Times New Roman"/>
            <w:lang w:val="en-US"/>
          </w:rPr>
          <m:t>F</m:t>
        </m:r>
        <m:r>
          <m:rPr>
            <m:sty m:val="p"/>
          </m:rPr>
          <w:rPr>
            <w:rFonts w:ascii="Cambria Math" w:hAnsi="Cambria Math" w:cs="Times New Roman"/>
          </w:rPr>
          <m:t>= N*</m:t>
        </m:r>
        <m:d>
          <m:dPr>
            <m:ctrlPr>
              <w:rPr>
                <w:rFonts w:ascii="Cambria Math" w:hAnsi="Cambria Math" w:cs="Times New Roman"/>
              </w:rPr>
            </m:ctrlPr>
          </m:dPr>
          <m:e>
            <m:r>
              <m:rPr>
                <m:sty m:val="p"/>
              </m:rPr>
              <w:rPr>
                <w:rFonts w:ascii="Cambria Math" w:hAnsi="Cambria Math" w:cs="Times New Roman"/>
                <w:lang w:val="en-US"/>
              </w:rPr>
              <m:t>P</m:t>
            </m:r>
            <m:r>
              <m:rPr>
                <m:sty m:val="p"/>
              </m:rPr>
              <w:rPr>
                <w:rFonts w:ascii="Cambria Math" w:hAnsi="Cambria Math" w:cs="Times New Roman"/>
              </w:rPr>
              <m:t>-</m:t>
            </m:r>
            <m:r>
              <m:rPr>
                <m:sty m:val="p"/>
              </m:rPr>
              <w:rPr>
                <w:rFonts w:ascii="Cambria Math" w:hAnsi="Cambria Math" w:cs="Times New Roman"/>
                <w:lang w:val="en-US"/>
              </w:rPr>
              <m:t>K</m:t>
            </m:r>
            <m:ctrlPr>
              <w:rPr>
                <w:rFonts w:ascii="Cambria Math" w:hAnsi="Cambria Math" w:cs="Times New Roman"/>
                <w:lang w:val="en-US"/>
              </w:rPr>
            </m:ctrlPr>
          </m:e>
        </m:d>
        <m:r>
          <m:rPr>
            <m:sty m:val="p"/>
          </m:rPr>
          <w:rPr>
            <w:rFonts w:ascii="Cambria Math" w:hAnsi="Cambria Math" w:cs="Times New Roman"/>
          </w:rPr>
          <m:t>*</m:t>
        </m:r>
        <m:sSup>
          <m:sSupPr>
            <m:ctrlPr>
              <w:rPr>
                <w:rFonts w:ascii="Cambria Math" w:hAnsi="Cambria Math" w:cs="Times New Roman"/>
                <w:lang w:val="en-US"/>
              </w:rPr>
            </m:ctrlPr>
          </m:sSupPr>
          <m:e>
            <m:r>
              <m:rPr>
                <m:sty m:val="p"/>
              </m:rPr>
              <w:rPr>
                <w:rFonts w:ascii="Cambria Math" w:hAnsi="Cambria Math" w:cs="Times New Roman"/>
                <w:lang w:val="en-US"/>
              </w:rPr>
              <m:t>exp</m:t>
            </m:r>
          </m:e>
          <m:sup>
            <m:r>
              <m:rPr>
                <m:sty m:val="p"/>
              </m:rPr>
              <w:rPr>
                <w:rFonts w:ascii="Cambria Math" w:hAnsi="Cambria Math" w:cs="Times New Roman"/>
              </w:rPr>
              <m:t>-</m:t>
            </m:r>
            <m:r>
              <m:rPr>
                <m:sty m:val="p"/>
              </m:rPr>
              <w:rPr>
                <w:rFonts w:ascii="Cambria Math" w:hAnsi="Cambria Math" w:cs="Times New Roman"/>
                <w:lang w:val="en-US"/>
              </w:rPr>
              <m:t>rT</m:t>
            </m:r>
          </m:sup>
        </m:sSup>
      </m:oMath>
      <w:r w:rsidRPr="00BB1E15">
        <w:rPr>
          <w:rFonts w:ascii="Times New Roman" w:eastAsiaTheme="minorEastAsia" w:hAnsi="Times New Roman" w:cs="Times New Roman"/>
        </w:rPr>
        <w:t xml:space="preserve"> , где:</w:t>
      </w:r>
    </w:p>
    <w:p w14:paraId="2CA42DED"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K – цена сделки;</w:t>
      </w:r>
    </w:p>
    <w:p w14:paraId="31829645"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r – процентная ставка, рассчитанная в соответствии с учетной политикой налогоплательщика для целей налогообложения, на основании индикаторов (котировок) SOFR (обеспеченная ставка овернайт в долларах США), ESTR (краткосрочная ставка в евро), SONIA (средняя ставка овернайт в фунтах стерлингов), TONAR (средняя ставка овернайт в японских иенах), SARON (средняя ставка овернайт в швейцарских франках), RUONIA, RUSFAR (процентные ставки в российских рублях), своп-договоров (контрактов), форвардных договоров (контрактов) или фьючерсных договоров (контрактов), базисным (базовым) активом которых является процентная ставка, и (или) иных индикаторов процентных ставок (в долях единицы), соответствующих сроку исполнения форвардного договора (контракта)</w:t>
      </w:r>
    </w:p>
    <w:p w14:paraId="79CB9F3E"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T – срок исполнения форвардного договора (контракта) в годах, рассчитанный по финансовой базе валюты, в которой выражена цена ПФИ.</w:t>
      </w:r>
    </w:p>
    <w:p w14:paraId="13A906FC" w14:textId="77777777" w:rsidR="00B23F01" w:rsidRPr="00BB1E15" w:rsidRDefault="00B23F01" w:rsidP="00B62BA5">
      <w:pPr>
        <w:jc w:val="both"/>
        <w:rPr>
          <w:rFonts w:ascii="Times New Roman" w:hAnsi="Times New Roman" w:cs="Times New Roman"/>
        </w:rPr>
      </w:pPr>
      <w:r w:rsidRPr="00BB1E15">
        <w:rPr>
          <w:rFonts w:ascii="Times New Roman" w:hAnsi="Times New Roman" w:cs="Times New Roman"/>
          <w:lang w:val="en-US"/>
        </w:rPr>
        <w:t>N</w:t>
      </w:r>
      <w:r w:rsidRPr="00BB1E15">
        <w:rPr>
          <w:rFonts w:ascii="Times New Roman" w:hAnsi="Times New Roman" w:cs="Times New Roman"/>
        </w:rPr>
        <w:t xml:space="preserve"> – количество ценных бумаг;</w:t>
      </w:r>
    </w:p>
    <w:p w14:paraId="567DB5F5"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Р – расчетная цена форвардного договора (контракта), базисным (базовым) активом которого является ценная бумага, рассчитывается по следующей формуле:</w:t>
      </w:r>
    </w:p>
    <w:p w14:paraId="2FBA4BA0" w14:textId="71AD4A5D" w:rsidR="00B23F01" w:rsidRPr="00B23F01" w:rsidRDefault="00B23F01" w:rsidP="00B62BA5">
      <w:pPr>
        <w:autoSpaceDE w:val="0"/>
        <w:autoSpaceDN w:val="0"/>
        <w:adjustRightInd w:val="0"/>
        <w:jc w:val="both"/>
        <w:rPr>
          <w:rFonts w:ascii="Times New Roman" w:eastAsiaTheme="minorEastAsia" w:hAnsi="Times New Roman" w:cs="Times New Roman"/>
          <w:sz w:val="20"/>
          <w:szCs w:val="20"/>
        </w:rPr>
      </w:pPr>
      <w:r w:rsidRPr="00B23F01">
        <w:rPr>
          <w:rFonts w:ascii="Times New Roman" w:hAnsi="Times New Roman" w:cs="Times New Roman"/>
          <w:noProof/>
          <w:sz w:val="20"/>
          <w:szCs w:val="20"/>
        </w:rPr>
        <w:drawing>
          <wp:anchor distT="0" distB="0" distL="114300" distR="114300" simplePos="0" relativeHeight="251659264" behindDoc="0" locked="0" layoutInCell="1" allowOverlap="1" wp14:anchorId="062F3D0B" wp14:editId="5D4573C9">
            <wp:simplePos x="0" y="0"/>
            <wp:positionH relativeFrom="column">
              <wp:posOffset>19685</wp:posOffset>
            </wp:positionH>
            <wp:positionV relativeFrom="paragraph">
              <wp:posOffset>59055</wp:posOffset>
            </wp:positionV>
            <wp:extent cx="914400" cy="46672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14400" cy="466725"/>
                    </a:xfrm>
                    <a:prstGeom prst="rect">
                      <a:avLst/>
                    </a:prstGeom>
                    <a:noFill/>
                    <a:ln w="9525">
                      <a:noFill/>
                      <a:miter lim="800000"/>
                      <a:headEnd/>
                      <a:tailEnd/>
                    </a:ln>
                  </pic:spPr>
                </pic:pic>
              </a:graphicData>
            </a:graphic>
          </wp:anchor>
        </w:drawing>
      </w:r>
    </w:p>
    <w:p w14:paraId="5AD8E0A3" w14:textId="77777777" w:rsidR="000D61B8" w:rsidRDefault="000D61B8" w:rsidP="00B62BA5">
      <w:pPr>
        <w:pStyle w:val="Default"/>
        <w:jc w:val="both"/>
        <w:rPr>
          <w:rFonts w:ascii="Times New Roman" w:hAnsi="Times New Roman" w:cs="Times New Roman"/>
          <w:sz w:val="20"/>
          <w:szCs w:val="20"/>
        </w:rPr>
      </w:pPr>
    </w:p>
    <w:p w14:paraId="14B9D402" w14:textId="77777777" w:rsidR="000D61B8" w:rsidRDefault="000D61B8" w:rsidP="00B62BA5">
      <w:pPr>
        <w:pStyle w:val="Default"/>
        <w:jc w:val="both"/>
        <w:rPr>
          <w:rFonts w:ascii="Times New Roman" w:hAnsi="Times New Roman" w:cs="Times New Roman"/>
          <w:sz w:val="20"/>
          <w:szCs w:val="20"/>
        </w:rPr>
      </w:pPr>
    </w:p>
    <w:p w14:paraId="7E011B8B" w14:textId="77777777" w:rsidR="000D61B8" w:rsidRDefault="00B23F01" w:rsidP="00B62BA5">
      <w:pPr>
        <w:pStyle w:val="Default"/>
        <w:jc w:val="both"/>
        <w:rPr>
          <w:rFonts w:ascii="Times New Roman" w:hAnsi="Times New Roman" w:cs="Times New Roman"/>
          <w:sz w:val="20"/>
          <w:szCs w:val="20"/>
        </w:rPr>
      </w:pPr>
      <w:r w:rsidRPr="00B23F01">
        <w:rPr>
          <w:rFonts w:ascii="Times New Roman" w:hAnsi="Times New Roman" w:cs="Times New Roman"/>
          <w:sz w:val="20"/>
          <w:szCs w:val="20"/>
        </w:rPr>
        <w:t>,</w:t>
      </w:r>
    </w:p>
    <w:p w14:paraId="18F407E1" w14:textId="604C80A2" w:rsidR="00B23F01" w:rsidRPr="00BB1E15" w:rsidRDefault="00B23F01" w:rsidP="00B62BA5">
      <w:pPr>
        <w:pStyle w:val="Default"/>
        <w:jc w:val="both"/>
        <w:rPr>
          <w:rFonts w:ascii="Times New Roman" w:hAnsi="Times New Roman" w:cs="Times New Roman"/>
        </w:rPr>
      </w:pPr>
      <w:r w:rsidRPr="00BB1E15">
        <w:rPr>
          <w:rFonts w:ascii="Times New Roman" w:hAnsi="Times New Roman" w:cs="Times New Roman"/>
        </w:rPr>
        <w:t>где:</w:t>
      </w:r>
    </w:p>
    <w:p w14:paraId="580B93FD" w14:textId="71EFAD33"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lang w:val="en-US"/>
        </w:rPr>
        <w:t>S</w:t>
      </w:r>
      <w:r w:rsidRPr="00BB1E15">
        <w:rPr>
          <w:rFonts w:ascii="Times New Roman" w:hAnsi="Times New Roman" w:cs="Times New Roman"/>
        </w:rPr>
        <w:t xml:space="preserve"> - текущая цена ценной бумаги;</w:t>
      </w:r>
    </w:p>
    <w:p w14:paraId="4F39346A" w14:textId="3AB07FCF" w:rsidR="00B23F01" w:rsidRPr="00BB1E15" w:rsidRDefault="00B23F01" w:rsidP="00B62BA5">
      <w:pPr>
        <w:autoSpaceDE w:val="0"/>
        <w:autoSpaceDN w:val="0"/>
        <w:adjustRightInd w:val="0"/>
        <w:ind w:firstLine="567"/>
        <w:jc w:val="both"/>
        <w:rPr>
          <w:rFonts w:ascii="Times New Roman" w:hAnsi="Times New Roman" w:cs="Times New Roman"/>
        </w:rPr>
      </w:pPr>
      <w:r w:rsidRPr="00BB1E15">
        <w:rPr>
          <w:rFonts w:ascii="Times New Roman" w:hAnsi="Times New Roman" w:cs="Times New Roman"/>
        </w:rPr>
        <w:t>При этом текущая цена ценной бумаги, не обращающейся на организованном рынке ценных бумаг, используемая при определении расчетной цены финансовых инструментов срочных сделок, принимается равной расчетной стоимости соответствующей ценной бумаги, определенной в соответствии с Порядком, утвержденным Приказом ФСФР №10-66/пз-н.</w:t>
      </w:r>
    </w:p>
    <w:p w14:paraId="609CA8BD" w14:textId="77777777" w:rsidR="00B23F01" w:rsidRPr="00BB1E15" w:rsidRDefault="00B23F01" w:rsidP="00B62BA5">
      <w:pPr>
        <w:autoSpaceDE w:val="0"/>
        <w:autoSpaceDN w:val="0"/>
        <w:adjustRightInd w:val="0"/>
        <w:ind w:firstLine="567"/>
        <w:jc w:val="both"/>
        <w:rPr>
          <w:rFonts w:ascii="Times New Roman" w:hAnsi="Times New Roman" w:cs="Times New Roman"/>
        </w:rPr>
      </w:pPr>
      <w:r w:rsidRPr="00BB1E15">
        <w:rPr>
          <w:rFonts w:ascii="Times New Roman" w:hAnsi="Times New Roman" w:cs="Times New Roman"/>
        </w:rPr>
        <w:t>Текущая цена ценной бумаги, обращающейся на организованном рынке ценных бумаг, используемая при определении расчетной стоимости финансовых инструментов срочных сделок, признается равной:</w:t>
      </w:r>
    </w:p>
    <w:p w14:paraId="75023984"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рыночной цене ценной бумаги, рассчитанной организатором торговли на рынке ценных бумаг, включая биржу, по итогам дня, в который Банк совершил операцию с финансовым инструментом срочных сделок, - для ценных бумаг, допущенных к торгам российского организатора торговли на рынке ценных бумаг, включая биржу. В случае если рыночная цена ценной бумаги, являющейся базисным (базовым) активом финансового инструмента срочных сделок, была рассчитана более чем одним организатором торговли на рынке ценных бумаг, включая биржу, для определения текущей цены ценной бумаги допускается использование рыночной цены ценной бумаги, рассчитанной любым из этих организаторов торговли, включая биржу;</w:t>
      </w:r>
    </w:p>
    <w:p w14:paraId="71657B81"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цене закрытия рынка по ценной бумаге, рассчитанной иностранной фондовой биржей, по итогам дня, в который Банк совершил операцию с финансовым инструментом срочных сделок, - для ценных бумаг, допущенных к торгам иностранной фондовой биржи. В случае если цена закрытия рынка по ценной бумаге, являющейся базисным (базовым) активом финансового инструмента срочных сделок, была рассчитана более чем одной иностранной фондовой биржей, для определения текущей цены ценной бумаги допускается использование цены закрытия рынка по ценной бумаге, сложившейся на любой из этих иностранных фондовых бирж.</w:t>
      </w:r>
    </w:p>
    <w:p w14:paraId="5D3FFC1F" w14:textId="2023FCDF"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lang w:val="en-US"/>
        </w:rPr>
        <w:lastRenderedPageBreak/>
        <w:t>DF</w:t>
      </w:r>
      <w:r w:rsidRPr="00BB1E15">
        <w:rPr>
          <w:rFonts w:ascii="Times New Roman" w:hAnsi="Times New Roman" w:cs="Times New Roman"/>
        </w:rPr>
        <w:t xml:space="preserve"> - дисконтный фактор для валюты, в которой выражена цена ценной бумаги, определяемый в соответствии с п. </w:t>
      </w:r>
      <w:r w:rsidR="00FE4B64" w:rsidRPr="00BB1E15">
        <w:rPr>
          <w:rFonts w:ascii="Times New Roman" w:hAnsi="Times New Roman" w:cs="Times New Roman"/>
        </w:rPr>
        <w:t>9</w:t>
      </w:r>
      <w:r w:rsidRPr="00BB1E15">
        <w:rPr>
          <w:rFonts w:ascii="Times New Roman" w:hAnsi="Times New Roman" w:cs="Times New Roman"/>
        </w:rPr>
        <w:t>.7. настоящей Методики;</w:t>
      </w:r>
    </w:p>
    <w:p w14:paraId="7AB81FA1"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Cs/>
          <w:lang w:val="en-US"/>
        </w:rPr>
        <w:t>d</w:t>
      </w:r>
      <w:r w:rsidRPr="00BB1E15">
        <w:rPr>
          <w:rFonts w:ascii="Times New Roman" w:hAnsi="Times New Roman" w:cs="Times New Roman"/>
          <w:iCs/>
        </w:rPr>
        <w:t xml:space="preserve"> </w:t>
      </w:r>
      <w:r w:rsidRPr="00BB1E15">
        <w:rPr>
          <w:rFonts w:ascii="Times New Roman" w:hAnsi="Times New Roman" w:cs="Times New Roman"/>
        </w:rPr>
        <w:t>- сумма обратно дисконтированных на дату заключения форвардного договора (контракта) дивидендов, процентов или иного дохода по ценной бумаге, который должен быть выплачен эмитентом ценной бумаги (лицом, обязанным по ценной бумаге) до истечения срока исполнения форвардного договора (контракта).</w:t>
      </w:r>
    </w:p>
    <w:p w14:paraId="04A252B0" w14:textId="304812F7" w:rsidR="00B23F01" w:rsidRPr="00BB1E15" w:rsidRDefault="00B23F01">
      <w:pPr>
        <w:pStyle w:val="a8"/>
        <w:widowControl/>
        <w:numPr>
          <w:ilvl w:val="1"/>
          <w:numId w:val="3"/>
        </w:numPr>
        <w:tabs>
          <w:tab w:val="left" w:pos="426"/>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Валютный своп:</w:t>
      </w:r>
    </w:p>
    <w:p w14:paraId="658F5D97" w14:textId="1FA8B43B" w:rsidR="008557E8" w:rsidRPr="00BB1E15" w:rsidRDefault="00B23F01" w:rsidP="00B62BA5">
      <w:pPr>
        <w:ind w:firstLine="539"/>
        <w:jc w:val="both"/>
        <w:rPr>
          <w:rFonts w:ascii="Times New Roman" w:hAnsi="Times New Roman" w:cs="Times New Roman"/>
        </w:rPr>
      </w:pPr>
      <w:r w:rsidRPr="00BB1E15">
        <w:rPr>
          <w:rFonts w:ascii="Times New Roman" w:hAnsi="Times New Roman" w:cs="Times New Roman"/>
        </w:rPr>
        <w:t xml:space="preserve">Справедливая стоимость свопа, базисным (базовым) активом которого является иностранная валюта, определяется согласно п. </w:t>
      </w:r>
      <w:r w:rsidR="00FE4B64" w:rsidRPr="00BB1E15">
        <w:rPr>
          <w:rFonts w:ascii="Times New Roman" w:hAnsi="Times New Roman" w:cs="Times New Roman"/>
        </w:rPr>
        <w:t>9</w:t>
      </w:r>
      <w:r w:rsidRPr="00BB1E15">
        <w:rPr>
          <w:rFonts w:ascii="Times New Roman" w:hAnsi="Times New Roman" w:cs="Times New Roman"/>
        </w:rPr>
        <w:t xml:space="preserve">.7. настоящей Методики. При этом рассчитывается справедливая стоимость первой и второй части свопа по отдельности, затем производится их сложение. Если первая часть сделки своп заключается на условиях </w:t>
      </w:r>
      <w:r w:rsidRPr="00BB1E15">
        <w:rPr>
          <w:rFonts w:ascii="Times New Roman" w:hAnsi="Times New Roman" w:cs="Times New Roman"/>
          <w:lang w:val="en-US"/>
        </w:rPr>
        <w:t>TOD</w:t>
      </w:r>
      <w:r w:rsidRPr="00BB1E15">
        <w:rPr>
          <w:rFonts w:ascii="Times New Roman" w:hAnsi="Times New Roman" w:cs="Times New Roman"/>
        </w:rPr>
        <w:t>, то справедливая стоимость валютного свопа будет совпадать со справедливой стоимостью валютного форварда, заключенного на условиях, аналогичных условиям второй части сделки своп. При этом, по сделкам должны быть одинаковы: валютная пара, форвардный курс, дата расчетов, номинал сделки (в базовой валюте).</w:t>
      </w:r>
    </w:p>
    <w:p w14:paraId="6A8D9AAA" w14:textId="4806577A"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Справедливая стоимость фьючерсного контракта как биржевого договора рассчитывается организатором торгов и представляет собой вариационную маржу по сделке, отражаемую в биржевых отчетах.</w:t>
      </w:r>
    </w:p>
    <w:p w14:paraId="55735807" w14:textId="79529667"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Справедливая стоимость опциона представляет собой премию по опциону на дату оценки, которая при отсутствии активного биржевого рынка данного финансового инструмента может быть получена с использованием следующих формул:</w:t>
      </w:r>
    </w:p>
    <w:p w14:paraId="4504F071" w14:textId="44B7B5B5" w:rsidR="00B23F01" w:rsidRPr="00BB1E15" w:rsidRDefault="00B23F01" w:rsidP="00B62BA5">
      <w:pPr>
        <w:pStyle w:val="Default"/>
        <w:jc w:val="both"/>
        <w:rPr>
          <w:rFonts w:ascii="Times New Roman" w:hAnsi="Times New Roman" w:cs="Times New Roman"/>
          <w:u w:val="single"/>
        </w:rPr>
      </w:pPr>
    </w:p>
    <w:p w14:paraId="6988E81B" w14:textId="77777777" w:rsidR="00B23F01" w:rsidRPr="00BB1E15" w:rsidRDefault="00B23F01" w:rsidP="00B62BA5">
      <w:pPr>
        <w:pStyle w:val="Default"/>
        <w:jc w:val="both"/>
        <w:rPr>
          <w:rFonts w:ascii="Times New Roman" w:hAnsi="Times New Roman" w:cs="Times New Roman"/>
          <w:i/>
          <w:iCs/>
        </w:rPr>
      </w:pPr>
      <w:r w:rsidRPr="00BB1E15">
        <w:rPr>
          <w:rFonts w:ascii="Times New Roman" w:hAnsi="Times New Roman" w:cs="Times New Roman"/>
        </w:rPr>
        <w:t xml:space="preserve">Цена (европейского) опциона </w:t>
      </w:r>
      <w:r w:rsidRPr="00BB1E15">
        <w:rPr>
          <w:rFonts w:ascii="Times New Roman" w:hAnsi="Times New Roman" w:cs="Times New Roman"/>
          <w:i/>
          <w:iCs/>
        </w:rPr>
        <w:t>call:</w:t>
      </w:r>
    </w:p>
    <w:p w14:paraId="443D3178" w14:textId="77777777" w:rsidR="00B23F01" w:rsidRPr="00B23F01" w:rsidRDefault="00B23F01" w:rsidP="00B62BA5">
      <w:pPr>
        <w:pStyle w:val="af4"/>
        <w:spacing w:before="0" w:beforeAutospacing="0" w:after="0" w:afterAutospacing="0"/>
        <w:jc w:val="both"/>
        <w:rPr>
          <w:i/>
          <w:noProof/>
          <w:color w:val="000000"/>
          <w:sz w:val="20"/>
          <w:szCs w:val="20"/>
        </w:rPr>
      </w:pPr>
      <w:r w:rsidRPr="00B23F01">
        <w:rPr>
          <w:i/>
          <w:noProof/>
          <w:color w:val="000000"/>
          <w:sz w:val="20"/>
          <w:szCs w:val="20"/>
        </w:rPr>
        <w:drawing>
          <wp:inline distT="0" distB="0" distL="0" distR="0" wp14:anchorId="4C77C6FA" wp14:editId="2A19404F">
            <wp:extent cx="2552700" cy="228600"/>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srcRect/>
                    <a:stretch>
                      <a:fillRect/>
                    </a:stretch>
                  </pic:blipFill>
                  <pic:spPr bwMode="auto">
                    <a:xfrm>
                      <a:off x="0" y="0"/>
                      <a:ext cx="2552700" cy="228600"/>
                    </a:xfrm>
                    <a:prstGeom prst="rect">
                      <a:avLst/>
                    </a:prstGeom>
                    <a:noFill/>
                    <a:ln w="9525">
                      <a:noFill/>
                      <a:miter lim="800000"/>
                      <a:headEnd/>
                      <a:tailEnd/>
                    </a:ln>
                  </pic:spPr>
                </pic:pic>
              </a:graphicData>
            </a:graphic>
          </wp:inline>
        </w:drawing>
      </w:r>
      <w:r w:rsidRPr="00B23F01">
        <w:rPr>
          <w:i/>
          <w:noProof/>
          <w:color w:val="000000"/>
          <w:sz w:val="20"/>
          <w:szCs w:val="20"/>
        </w:rPr>
        <w:t xml:space="preserve">  </w:t>
      </w:r>
    </w:p>
    <w:p w14:paraId="7A9FA461" w14:textId="77777777" w:rsidR="00B23F01" w:rsidRPr="00B23F01" w:rsidRDefault="00B23F01" w:rsidP="00B62BA5">
      <w:pPr>
        <w:pStyle w:val="af4"/>
        <w:spacing w:before="0" w:beforeAutospacing="0" w:after="0" w:afterAutospacing="0"/>
        <w:jc w:val="both"/>
        <w:rPr>
          <w:i/>
          <w:noProof/>
          <w:color w:val="000000"/>
          <w:sz w:val="20"/>
          <w:szCs w:val="20"/>
        </w:rPr>
      </w:pPr>
      <w:r w:rsidRPr="00B23F01">
        <w:rPr>
          <w:i/>
          <w:noProof/>
          <w:color w:val="000000"/>
          <w:sz w:val="20"/>
          <w:szCs w:val="20"/>
        </w:rPr>
        <w:drawing>
          <wp:inline distT="0" distB="0" distL="0" distR="0" wp14:anchorId="25C4E839" wp14:editId="0E0D9E2A">
            <wp:extent cx="2466975" cy="466725"/>
            <wp:effectExtent l="19050" t="0" r="9525"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srcRect/>
                    <a:stretch>
                      <a:fillRect/>
                    </a:stretch>
                  </pic:blipFill>
                  <pic:spPr bwMode="auto">
                    <a:xfrm>
                      <a:off x="0" y="0"/>
                      <a:ext cx="2466975" cy="466725"/>
                    </a:xfrm>
                    <a:prstGeom prst="rect">
                      <a:avLst/>
                    </a:prstGeom>
                    <a:noFill/>
                    <a:ln w="9525">
                      <a:noFill/>
                      <a:miter lim="800000"/>
                      <a:headEnd/>
                      <a:tailEnd/>
                    </a:ln>
                  </pic:spPr>
                </pic:pic>
              </a:graphicData>
            </a:graphic>
          </wp:inline>
        </w:drawing>
      </w:r>
    </w:p>
    <w:p w14:paraId="59720AA2" w14:textId="77777777" w:rsidR="00B23F01" w:rsidRPr="00B23F01" w:rsidRDefault="00B23F01" w:rsidP="00B62BA5">
      <w:pPr>
        <w:pStyle w:val="af4"/>
        <w:spacing w:before="0" w:beforeAutospacing="0" w:after="0" w:afterAutospacing="0"/>
        <w:jc w:val="both"/>
        <w:rPr>
          <w:i/>
          <w:noProof/>
          <w:color w:val="000000"/>
          <w:sz w:val="20"/>
          <w:szCs w:val="20"/>
        </w:rPr>
      </w:pPr>
      <w:r w:rsidRPr="00B23F01">
        <w:rPr>
          <w:i/>
          <w:noProof/>
          <w:color w:val="000000"/>
          <w:sz w:val="20"/>
          <w:szCs w:val="20"/>
        </w:rPr>
        <w:drawing>
          <wp:inline distT="0" distB="0" distL="0" distR="0" wp14:anchorId="3B79615D" wp14:editId="3A98F7CA">
            <wp:extent cx="1362075" cy="209550"/>
            <wp:effectExtent l="19050" t="0" r="9525"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cstate="print"/>
                    <a:srcRect/>
                    <a:stretch>
                      <a:fillRect/>
                    </a:stretch>
                  </pic:blipFill>
                  <pic:spPr bwMode="auto">
                    <a:xfrm>
                      <a:off x="0" y="0"/>
                      <a:ext cx="1362075" cy="209550"/>
                    </a:xfrm>
                    <a:prstGeom prst="rect">
                      <a:avLst/>
                    </a:prstGeom>
                    <a:noFill/>
                    <a:ln w="9525">
                      <a:noFill/>
                      <a:miter lim="800000"/>
                      <a:headEnd/>
                      <a:tailEnd/>
                    </a:ln>
                  </pic:spPr>
                </pic:pic>
              </a:graphicData>
            </a:graphic>
          </wp:inline>
        </w:drawing>
      </w:r>
    </w:p>
    <w:p w14:paraId="070ECA30" w14:textId="77777777" w:rsidR="00B23F01" w:rsidRPr="00B23F01" w:rsidRDefault="00B23F01" w:rsidP="00B62BA5">
      <w:pPr>
        <w:pStyle w:val="af4"/>
        <w:spacing w:before="0" w:beforeAutospacing="0" w:after="0" w:afterAutospacing="0"/>
        <w:jc w:val="both"/>
        <w:rPr>
          <w:i/>
          <w:iCs/>
          <w:color w:val="000000"/>
          <w:sz w:val="20"/>
          <w:szCs w:val="20"/>
          <w:u w:val="single"/>
        </w:rPr>
      </w:pPr>
      <w:r w:rsidRPr="00B23F01">
        <w:rPr>
          <w:color w:val="000000"/>
          <w:sz w:val="20"/>
          <w:szCs w:val="20"/>
          <w:u w:val="single"/>
        </w:rPr>
        <w:t xml:space="preserve">Цена (европейского) опциона </w:t>
      </w:r>
      <w:r w:rsidRPr="00B23F01">
        <w:rPr>
          <w:i/>
          <w:iCs/>
          <w:color w:val="000000"/>
          <w:sz w:val="20"/>
          <w:szCs w:val="20"/>
          <w:u w:val="single"/>
        </w:rPr>
        <w:t>put:</w:t>
      </w:r>
    </w:p>
    <w:p w14:paraId="5D6F450A" w14:textId="77777777" w:rsidR="00B23F01" w:rsidRPr="00B23F01" w:rsidRDefault="00B23F01" w:rsidP="00B62BA5">
      <w:pPr>
        <w:pStyle w:val="af4"/>
        <w:spacing w:before="0" w:beforeAutospacing="0" w:after="0" w:afterAutospacing="0"/>
        <w:jc w:val="both"/>
        <w:rPr>
          <w:color w:val="0070C0"/>
          <w:sz w:val="20"/>
          <w:szCs w:val="20"/>
        </w:rPr>
      </w:pPr>
      <w:r w:rsidRPr="00B23F01">
        <w:rPr>
          <w:i/>
          <w:noProof/>
          <w:color w:val="0070C0"/>
          <w:sz w:val="20"/>
          <w:szCs w:val="20"/>
        </w:rPr>
        <w:drawing>
          <wp:inline distT="0" distB="0" distL="0" distR="0" wp14:anchorId="1966D368" wp14:editId="18C8FA26">
            <wp:extent cx="2800350" cy="228600"/>
            <wp:effectExtent l="19050" t="0" r="0"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cstate="print"/>
                    <a:srcRect/>
                    <a:stretch>
                      <a:fillRect/>
                    </a:stretch>
                  </pic:blipFill>
                  <pic:spPr bwMode="auto">
                    <a:xfrm>
                      <a:off x="0" y="0"/>
                      <a:ext cx="2800350" cy="228600"/>
                    </a:xfrm>
                    <a:prstGeom prst="rect">
                      <a:avLst/>
                    </a:prstGeom>
                    <a:noFill/>
                    <a:ln w="9525">
                      <a:noFill/>
                      <a:miter lim="800000"/>
                      <a:headEnd/>
                      <a:tailEnd/>
                    </a:ln>
                  </pic:spPr>
                </pic:pic>
              </a:graphicData>
            </a:graphic>
          </wp:inline>
        </w:drawing>
      </w:r>
    </w:p>
    <w:p w14:paraId="10B873EA"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Cs/>
        </w:rPr>
        <w:t xml:space="preserve">C </w:t>
      </w:r>
      <w:r w:rsidRPr="00BB1E15">
        <w:rPr>
          <w:rFonts w:ascii="Times New Roman" w:hAnsi="Times New Roman" w:cs="Times New Roman"/>
        </w:rPr>
        <w:t>(</w:t>
      </w:r>
      <w:r w:rsidRPr="00BB1E15">
        <w:rPr>
          <w:rFonts w:ascii="Times New Roman" w:hAnsi="Times New Roman" w:cs="Times New Roman"/>
          <w:iCs/>
        </w:rPr>
        <w:t>S</w:t>
      </w:r>
      <w:r w:rsidRPr="00BB1E15">
        <w:rPr>
          <w:rFonts w:ascii="Times New Roman" w:hAnsi="Times New Roman" w:cs="Times New Roman"/>
        </w:rPr>
        <w:t>,</w:t>
      </w:r>
      <w:r w:rsidRPr="00BB1E15">
        <w:rPr>
          <w:rFonts w:ascii="Times New Roman" w:hAnsi="Times New Roman" w:cs="Times New Roman"/>
          <w:iCs/>
        </w:rPr>
        <w:t>t</w:t>
      </w:r>
      <w:r w:rsidRPr="00BB1E15">
        <w:rPr>
          <w:rFonts w:ascii="Times New Roman" w:hAnsi="Times New Roman" w:cs="Times New Roman"/>
        </w:rPr>
        <w:t xml:space="preserve">) – текущая стоимость опциона </w:t>
      </w:r>
      <w:r w:rsidRPr="00BB1E15">
        <w:rPr>
          <w:rFonts w:ascii="Times New Roman" w:hAnsi="Times New Roman" w:cs="Times New Roman"/>
          <w:i/>
          <w:iCs/>
        </w:rPr>
        <w:t>call</w:t>
      </w:r>
      <w:r w:rsidRPr="00BB1E15">
        <w:rPr>
          <w:rFonts w:ascii="Times New Roman" w:hAnsi="Times New Roman" w:cs="Times New Roman"/>
        </w:rPr>
        <w:t xml:space="preserve"> в момент </w:t>
      </w:r>
      <w:r w:rsidRPr="00BB1E15">
        <w:rPr>
          <w:rFonts w:ascii="Times New Roman" w:hAnsi="Times New Roman" w:cs="Times New Roman"/>
          <w:i/>
          <w:iCs/>
        </w:rPr>
        <w:t>t</w:t>
      </w:r>
      <w:r w:rsidRPr="00BB1E15">
        <w:rPr>
          <w:rFonts w:ascii="Times New Roman" w:hAnsi="Times New Roman" w:cs="Times New Roman"/>
        </w:rPr>
        <w:t xml:space="preserve"> до истечения срока опциона;</w:t>
      </w:r>
    </w:p>
    <w:p w14:paraId="0F43A556"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Cs/>
        </w:rPr>
        <w:t>S</w:t>
      </w:r>
      <w:r w:rsidRPr="00BB1E15">
        <w:rPr>
          <w:rFonts w:ascii="Times New Roman" w:hAnsi="Times New Roman" w:cs="Times New Roman"/>
        </w:rPr>
        <w:t xml:space="preserve"> – текущая цена базисной акции;</w:t>
      </w:r>
    </w:p>
    <w:p w14:paraId="312A991A" w14:textId="1E112FDC"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Cs/>
          <w:lang w:val="en-US"/>
        </w:rPr>
        <w:t>N</w:t>
      </w:r>
      <w:r w:rsidRPr="00BB1E15">
        <w:rPr>
          <w:rFonts w:ascii="Times New Roman" w:hAnsi="Times New Roman" w:cs="Times New Roman"/>
        </w:rPr>
        <w:t>(</w:t>
      </w:r>
      <w:r w:rsidRPr="00BB1E15">
        <w:rPr>
          <w:rFonts w:ascii="Times New Roman" w:hAnsi="Times New Roman" w:cs="Times New Roman"/>
          <w:iCs/>
        </w:rPr>
        <w:t>x</w:t>
      </w:r>
      <w:r w:rsidRPr="00BB1E15">
        <w:rPr>
          <w:rFonts w:ascii="Times New Roman" w:hAnsi="Times New Roman" w:cs="Times New Roman"/>
        </w:rPr>
        <w:t>) – вероятность того, что отклонение будет меньше в условиях стандартного нормального распределения (таким образом, и ограничивают область значений для функции стандартного нормального распределения);</w:t>
      </w:r>
    </w:p>
    <w:p w14:paraId="4A405183"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Cs/>
        </w:rPr>
        <w:t>K</w:t>
      </w:r>
      <w:r w:rsidRPr="00BB1E15">
        <w:rPr>
          <w:rFonts w:ascii="Times New Roman" w:hAnsi="Times New Roman" w:cs="Times New Roman"/>
        </w:rPr>
        <w:t xml:space="preserve"> – цена исполнения опциона;</w:t>
      </w:r>
    </w:p>
    <w:p w14:paraId="2083EAFB"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
          <w:iCs/>
        </w:rPr>
        <w:t>r</w:t>
      </w:r>
      <w:r w:rsidRPr="00BB1E15">
        <w:rPr>
          <w:rFonts w:ascii="Times New Roman" w:hAnsi="Times New Roman" w:cs="Times New Roman"/>
        </w:rPr>
        <w:t xml:space="preserve"> –безрисковая процентная ставка;</w:t>
      </w:r>
    </w:p>
    <w:p w14:paraId="7FDA513B"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i/>
          <w:iCs/>
        </w:rPr>
        <w:t>T</w:t>
      </w:r>
      <w:r w:rsidRPr="00BB1E15">
        <w:rPr>
          <w:rFonts w:ascii="Times New Roman" w:hAnsi="Times New Roman" w:cs="Times New Roman"/>
        </w:rPr>
        <w:t xml:space="preserve"> − </w:t>
      </w:r>
      <w:r w:rsidRPr="00BB1E15">
        <w:rPr>
          <w:rFonts w:ascii="Times New Roman" w:hAnsi="Times New Roman" w:cs="Times New Roman"/>
          <w:i/>
          <w:iCs/>
        </w:rPr>
        <w:t>t</w:t>
      </w:r>
      <w:r w:rsidRPr="00BB1E15">
        <w:rPr>
          <w:rFonts w:ascii="Times New Roman" w:hAnsi="Times New Roman" w:cs="Times New Roman"/>
        </w:rPr>
        <w:t xml:space="preserve"> - время до истечения срока опциона (период опциона);</w:t>
      </w:r>
    </w:p>
    <w:p w14:paraId="756B5185" w14:textId="6A5A1CD6" w:rsidR="00B23F01" w:rsidRPr="00BB1E15" w:rsidRDefault="00B23F01" w:rsidP="00B62BA5">
      <w:pPr>
        <w:tabs>
          <w:tab w:val="left" w:pos="0"/>
          <w:tab w:val="left" w:pos="540"/>
          <w:tab w:val="left" w:pos="1440"/>
          <w:tab w:val="left" w:pos="2160"/>
          <w:tab w:val="left" w:pos="2880"/>
          <w:tab w:val="left" w:pos="3600"/>
          <w:tab w:val="left" w:pos="4320"/>
        </w:tabs>
        <w:autoSpaceDE w:val="0"/>
        <w:autoSpaceDN w:val="0"/>
        <w:adjustRightInd w:val="0"/>
        <w:jc w:val="both"/>
        <w:rPr>
          <w:rFonts w:ascii="Times New Roman" w:hAnsi="Times New Roman" w:cs="Times New Roman"/>
          <w:bCs/>
        </w:rPr>
      </w:pPr>
      <w:r w:rsidRPr="00BB1E15">
        <w:rPr>
          <w:rFonts w:ascii="Times New Roman" w:hAnsi="Times New Roman" w:cs="Times New Roman"/>
        </w:rPr>
        <w:t>σ – волатильность (квадратный корень из дисперсии) базисной акции</w:t>
      </w:r>
      <w:r w:rsidRPr="00BB1E15">
        <w:rPr>
          <w:rFonts w:ascii="Times New Roman" w:hAnsi="Times New Roman" w:cs="Times New Roman"/>
          <w:bCs/>
        </w:rPr>
        <w:t>.</w:t>
      </w:r>
    </w:p>
    <w:p w14:paraId="31235CB8" w14:textId="08A86492"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Банк производит переоценку финансовых инструментов по справедливой стоимости согласно Учетной политике Банка.</w:t>
      </w:r>
    </w:p>
    <w:p w14:paraId="34A8CCFF" w14:textId="2616FE46"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Определение справедливой стоимости ПФИ производится Управлением ценных бумаг/Управлением дилинга и МБК (в зависимости от вида ПФИ) при участии Управления контроля рисков (Приложение №</w:t>
      </w:r>
      <w:r w:rsidR="002C58F4" w:rsidRPr="00BB1E15">
        <w:rPr>
          <w:rFonts w:ascii="Times New Roman" w:hAnsi="Times New Roman" w:cs="Times New Roman"/>
        </w:rPr>
        <w:t xml:space="preserve">3 </w:t>
      </w:r>
      <w:r w:rsidRPr="00BB1E15">
        <w:rPr>
          <w:rFonts w:ascii="Times New Roman" w:hAnsi="Times New Roman" w:cs="Times New Roman"/>
        </w:rPr>
        <w:t>к Методике).</w:t>
      </w:r>
    </w:p>
    <w:p w14:paraId="4ACD176C" w14:textId="2AD4CE80"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Управление контроля рисков на регулярной основе выявляет признаки обесценения в части снижения стоимости ценных бумаг (на ежемесячной основе, в последний рабочий день месяца), а также факторы, свидетельствующие об ухудшении финансового положения эмитента. К признакам обесценения базового актива относятся:</w:t>
      </w:r>
    </w:p>
    <w:p w14:paraId="39085A55"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ab/>
        <w:t>– при наличии рейтинга кредитоспособности эмитента - признаком обесценения считается ситуация, при которой абсолютная величина разницы между котируемой доходностью ценной бумаги и котируемой доходностью ценной бумаги, эмитированной лицом с кредитным рейтингом, отличающимся не более, чем на две ступени от рейтинга эмитента при схожих параметрах эмиссии (срок обращения, дюрация, график погашения), превосходит 7%;</w:t>
      </w:r>
    </w:p>
    <w:p w14:paraId="107E4F64"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ab/>
        <w:t>– существенное снижение рейтинга кредитоспособности эмитента (снижение на две и более ступени);</w:t>
      </w:r>
    </w:p>
    <w:p w14:paraId="58B86101" w14:textId="77777777" w:rsidR="00B23F01" w:rsidRPr="00BB1E15" w:rsidRDefault="00B23F01"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ab/>
        <w:t>– выявление фактов неисполнения эмитентом своих обязательств по какой-либо ценной бумаге.</w:t>
      </w:r>
    </w:p>
    <w:p w14:paraId="346E4D9D" w14:textId="05A6F383"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lastRenderedPageBreak/>
        <w:t>В случае выявления признаков обесценения Управление ценных бумаг вносит корректировки в определение справедливой стоимости или Управление контроля рисков формирует мотивированное суждение для создания резервов.</w:t>
      </w:r>
    </w:p>
    <w:p w14:paraId="06A4493E" w14:textId="1BCE99BF" w:rsidR="00B23F01" w:rsidRPr="00BB1E15" w:rsidRDefault="00B23F01" w:rsidP="00A8050E">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Переоценка ПФИ по справедливой стоимости осуществляется Управлением сопровождения операций (Бэк-офис) на основании информации, предоставленной Управлением ценных бумаг/Управлением дилинга и МБК (в зависимости от вида ПФИ) по форме Приложения №</w:t>
      </w:r>
      <w:r w:rsidR="002C58F4" w:rsidRPr="00BB1E15">
        <w:rPr>
          <w:rFonts w:ascii="Times New Roman" w:hAnsi="Times New Roman" w:cs="Times New Roman"/>
        </w:rPr>
        <w:t xml:space="preserve"> </w:t>
      </w:r>
      <w:r w:rsidR="00C24EAB" w:rsidRPr="00BB1E15">
        <w:rPr>
          <w:rFonts w:ascii="Times New Roman" w:hAnsi="Times New Roman" w:cs="Times New Roman"/>
        </w:rPr>
        <w:t>3</w:t>
      </w:r>
      <w:r w:rsidRPr="00BB1E15">
        <w:rPr>
          <w:rFonts w:ascii="Times New Roman" w:hAnsi="Times New Roman" w:cs="Times New Roman"/>
        </w:rPr>
        <w:t xml:space="preserve"> к Методике, и с учетом корректировок и мотивированных суждений Управления контроля рисков.</w:t>
      </w:r>
    </w:p>
    <w:p w14:paraId="679A94C1" w14:textId="77777777" w:rsidR="00B23F01" w:rsidRPr="00BB1E15" w:rsidRDefault="00B23F01" w:rsidP="00B62BA5">
      <w:pPr>
        <w:autoSpaceDE w:val="0"/>
        <w:autoSpaceDN w:val="0"/>
        <w:adjustRightInd w:val="0"/>
        <w:jc w:val="both"/>
        <w:rPr>
          <w:rFonts w:ascii="Times New Roman" w:hAnsi="Times New Roman" w:cs="Times New Roman"/>
          <w:bCs/>
        </w:rPr>
      </w:pPr>
    </w:p>
    <w:p w14:paraId="3049AA06" w14:textId="4711BB56" w:rsidR="00B23F01" w:rsidRPr="00BB1E15" w:rsidRDefault="00B23F01">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Корректировки справедливой стоимости ПФИ.</w:t>
      </w:r>
    </w:p>
    <w:p w14:paraId="150C6FF7" w14:textId="77777777" w:rsidR="00B23F01" w:rsidRPr="00BB1E15" w:rsidRDefault="00B23F01" w:rsidP="00B62BA5">
      <w:pPr>
        <w:autoSpaceDE w:val="0"/>
        <w:autoSpaceDN w:val="0"/>
        <w:adjustRightInd w:val="0"/>
        <w:jc w:val="both"/>
        <w:rPr>
          <w:rFonts w:ascii="Times New Roman" w:hAnsi="Times New Roman" w:cs="Times New Roman"/>
          <w:bCs/>
        </w:rPr>
      </w:pPr>
    </w:p>
    <w:p w14:paraId="19300AA9" w14:textId="1F753917" w:rsidR="00B23F01" w:rsidRPr="00BB1E15" w:rsidRDefault="00B23F01"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При определении справедливой стоимости Банк применяет корректировки на риск контрагента (эмитента) по ПФИ, в случае если сделка заключена с исполнением не через центрального контрагента в лице организатора торговли. Также Банк вправе применять корректировки на волатильность/низкую ликвидность к данным Уровня 2 и 3 на основе мотивированного суждения Управления контроля рисков, которое принимает решение о необходимости применения данных корректировок, а также их размере.</w:t>
      </w:r>
    </w:p>
    <w:p w14:paraId="6315A426" w14:textId="76793A27" w:rsidR="00B23F01" w:rsidRPr="00BB1E15" w:rsidRDefault="00B23F01"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Корректировка на кредитный риск контрагента (эмитента) (далее CVA (Credit Value Adjustment)) применяется для учета кредитного качества контрагента (эмитента) по сделке с ПФИ.</w:t>
      </w:r>
    </w:p>
    <w:p w14:paraId="50472CD5"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CVA рассчитывается по следующей формуле с учетом дюрации:</w:t>
      </w:r>
    </w:p>
    <w:p w14:paraId="558FB7DA"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CVA = Р*k*t, где:</w:t>
      </w:r>
    </w:p>
    <w:p w14:paraId="058D032F"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P - текущая справедливая стоимость ПФИ;</w:t>
      </w:r>
    </w:p>
    <w:p w14:paraId="0DBFE583"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k - коэффициент корректировки вероятности неисполнения контрагентом (эмитентом) обязательств по сделке с ПФИ в зависимости от кредитного рейтинга контрагента (эмитента);</w:t>
      </w:r>
    </w:p>
    <w:p w14:paraId="15D4985A" w14:textId="77777777" w:rsidR="00B23F01" w:rsidRPr="00BB1E15" w:rsidRDefault="00B23F01" w:rsidP="00B62BA5">
      <w:pPr>
        <w:autoSpaceDE w:val="0"/>
        <w:autoSpaceDN w:val="0"/>
        <w:adjustRightInd w:val="0"/>
        <w:jc w:val="both"/>
        <w:rPr>
          <w:rFonts w:ascii="Times New Roman" w:hAnsi="Times New Roman" w:cs="Times New Roman"/>
          <w:bCs/>
        </w:rPr>
      </w:pPr>
      <w:r w:rsidRPr="00BB1E15">
        <w:rPr>
          <w:rFonts w:ascii="Times New Roman" w:hAnsi="Times New Roman" w:cs="Times New Roman"/>
          <w:bCs/>
        </w:rPr>
        <w:t>t - срок до исполнения сделки между контрагентами в годах, при t &lt; 1, значение берется в долях с округлением до десятых.</w:t>
      </w:r>
    </w:p>
    <w:p w14:paraId="17E56C4B" w14:textId="1DE17125" w:rsidR="00B23F01" w:rsidRPr="00BB1E15" w:rsidRDefault="00B23F01"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Для оценки вероятности неисполнения обязательств применяется Методика оценки величины ожидаемых кредитных убытков по ценным бумагам, утвержденная в установленном Банком порядке.</w:t>
      </w:r>
    </w:p>
    <w:p w14:paraId="57784A8B" w14:textId="5F1E5214" w:rsidR="00B23F01" w:rsidRPr="00BB1E15" w:rsidRDefault="00B23F01"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Если произошел факт неисполнения обязательств по ПФИ контрагентом (эмитентом), то коэффициент корректировки вероятности неисполнения контрагентом (эмитентом) обязательств по сделке берется со значением 100%.</w:t>
      </w:r>
    </w:p>
    <w:p w14:paraId="0EA17FCD" w14:textId="77777777" w:rsidR="00B23F01" w:rsidRPr="00BB1E15" w:rsidRDefault="00B23F01" w:rsidP="00B62BA5">
      <w:pPr>
        <w:autoSpaceDE w:val="0"/>
        <w:autoSpaceDN w:val="0"/>
        <w:adjustRightInd w:val="0"/>
        <w:jc w:val="both"/>
        <w:rPr>
          <w:rFonts w:ascii="Times New Roman" w:hAnsi="Times New Roman" w:cs="Times New Roman"/>
          <w:bCs/>
        </w:rPr>
      </w:pPr>
    </w:p>
    <w:p w14:paraId="756F3535" w14:textId="5B2577CE" w:rsidR="00C75487" w:rsidRPr="00BB1E15" w:rsidRDefault="00527AFD">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Мониторинг адекватности справедливой стоимости</w:t>
      </w:r>
      <w:r w:rsidR="0075623E" w:rsidRPr="00BB1E15">
        <w:rPr>
          <w:rFonts w:ascii="Times New Roman" w:hAnsi="Times New Roman" w:cs="Times New Roman"/>
          <w:b/>
        </w:rPr>
        <w:br/>
      </w:r>
      <w:r w:rsidRPr="00BB1E15">
        <w:rPr>
          <w:rFonts w:ascii="Times New Roman" w:hAnsi="Times New Roman" w:cs="Times New Roman"/>
          <w:b/>
        </w:rPr>
        <w:t>и контроль правильности определения справедливой стоимости</w:t>
      </w:r>
    </w:p>
    <w:p w14:paraId="465924AB" w14:textId="77777777" w:rsidR="00C75487" w:rsidRPr="00BB1E15" w:rsidRDefault="00C75487" w:rsidP="00B62BA5">
      <w:pPr>
        <w:autoSpaceDE w:val="0"/>
        <w:autoSpaceDN w:val="0"/>
        <w:adjustRightInd w:val="0"/>
        <w:jc w:val="both"/>
        <w:rPr>
          <w:rFonts w:ascii="Times New Roman" w:hAnsi="Times New Roman" w:cs="Times New Roman"/>
          <w:bCs/>
        </w:rPr>
      </w:pPr>
    </w:p>
    <w:p w14:paraId="64E09C0B" w14:textId="7C63870A" w:rsidR="00C75487" w:rsidRPr="00BB1E15" w:rsidRDefault="00C75487"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Банк проводит мониторинг адекватности справедливой стоимости</w:t>
      </w:r>
      <w:r w:rsidR="006E5ABF" w:rsidRPr="00BB1E15">
        <w:rPr>
          <w:rFonts w:ascii="Times New Roman" w:hAnsi="Times New Roman" w:cs="Times New Roman"/>
        </w:rPr>
        <w:t xml:space="preserve"> ценных бумаг</w:t>
      </w:r>
      <w:r w:rsidRPr="00BB1E15">
        <w:rPr>
          <w:rFonts w:ascii="Times New Roman" w:hAnsi="Times New Roman" w:cs="Times New Roman"/>
        </w:rPr>
        <w:t xml:space="preserve"> на регулярной основе, но не реже 1 раза в месяц.</w:t>
      </w:r>
    </w:p>
    <w:p w14:paraId="17CF4FBB" w14:textId="58B712B4" w:rsidR="00A00175" w:rsidRPr="00BB1E15" w:rsidRDefault="00C75487"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В случае если по результатам мониторинга справедливая стоимость </w:t>
      </w:r>
      <w:r w:rsidR="00421ACE" w:rsidRPr="00BB1E15">
        <w:rPr>
          <w:rFonts w:ascii="Times New Roman" w:hAnsi="Times New Roman" w:cs="Times New Roman"/>
        </w:rPr>
        <w:t>ценной бумаги</w:t>
      </w:r>
      <w:r w:rsidRPr="00BB1E15">
        <w:rPr>
          <w:rFonts w:ascii="Times New Roman" w:hAnsi="Times New Roman" w:cs="Times New Roman"/>
        </w:rPr>
        <w:t>, определенная на основании исходных данных 1 уровня, была признана неадекватной, справедливая стоимость указанного финансового инструмента определяется с помощью наблюдаемых и ненаблюдаемых исходных данных 2 и 3 уровней с применением соответствующих корректировок. Уровень иерархии справедливой стоимости в данном случае снижается до 2 или 3 уровня соответственно в зависимости от используемых исходных данных.</w:t>
      </w:r>
    </w:p>
    <w:p w14:paraId="07326479" w14:textId="02556494" w:rsidR="00421ACE" w:rsidRPr="00BB1E15" w:rsidRDefault="00421ACE"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 случае если по результатам мониторинга справедливая стоимость ценной бумаги, определенная с помощью наблюдаемых и/или ненаблюдаемых исход</w:t>
      </w:r>
      <w:r w:rsidR="00BC7994" w:rsidRPr="00BB1E15">
        <w:rPr>
          <w:rFonts w:ascii="Times New Roman" w:hAnsi="Times New Roman" w:cs="Times New Roman"/>
        </w:rPr>
        <w:t>ных данных (</w:t>
      </w:r>
      <w:r w:rsidRPr="00BB1E15">
        <w:rPr>
          <w:rFonts w:ascii="Times New Roman" w:hAnsi="Times New Roman" w:cs="Times New Roman"/>
        </w:rPr>
        <w:t>2 и 3 уровни</w:t>
      </w:r>
      <w:r w:rsidR="00BC7994" w:rsidRPr="00BB1E15">
        <w:rPr>
          <w:rFonts w:ascii="Times New Roman" w:hAnsi="Times New Roman" w:cs="Times New Roman"/>
        </w:rPr>
        <w:t xml:space="preserve"> иерархии</w:t>
      </w:r>
      <w:r w:rsidRPr="00BB1E15">
        <w:rPr>
          <w:rFonts w:ascii="Times New Roman" w:hAnsi="Times New Roman" w:cs="Times New Roman"/>
        </w:rPr>
        <w:t>/справедливая стоимость</w:t>
      </w:r>
      <w:r w:rsidR="00BC7994" w:rsidRPr="00BB1E15">
        <w:rPr>
          <w:rFonts w:ascii="Times New Roman" w:hAnsi="Times New Roman" w:cs="Times New Roman"/>
        </w:rPr>
        <w:t xml:space="preserve"> ценной бумаги)</w:t>
      </w:r>
      <w:r w:rsidRPr="00BB1E15">
        <w:rPr>
          <w:rFonts w:ascii="Times New Roman" w:hAnsi="Times New Roman" w:cs="Times New Roman"/>
        </w:rPr>
        <w:t xml:space="preserve">, была признана неадекватной, справедливая стоимость в данном случае подвергается дополнительной корректировке. Иерархия справедливой стоимости ценных бумаг </w:t>
      </w:r>
      <w:r w:rsidR="00BC7994" w:rsidRPr="00BB1E15">
        <w:rPr>
          <w:rFonts w:ascii="Times New Roman" w:hAnsi="Times New Roman" w:cs="Times New Roman"/>
        </w:rPr>
        <w:t>в данном случае понижается до 3 уровня.</w:t>
      </w:r>
    </w:p>
    <w:p w14:paraId="33451787" w14:textId="0048733A" w:rsidR="00A817F0" w:rsidRPr="00BB1E15" w:rsidRDefault="00A817F0"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Управление сопровождения операций (Бэк-офис) на регулярной основе</w:t>
      </w:r>
      <w:r w:rsidR="00D90635" w:rsidRPr="00BB1E15">
        <w:rPr>
          <w:rFonts w:ascii="Times New Roman" w:hAnsi="Times New Roman" w:cs="Times New Roman"/>
        </w:rPr>
        <w:t>,</w:t>
      </w:r>
      <w:r w:rsidRPr="00BB1E15">
        <w:rPr>
          <w:rFonts w:ascii="Times New Roman" w:hAnsi="Times New Roman" w:cs="Times New Roman"/>
        </w:rPr>
        <w:t xml:space="preserve"> </w:t>
      </w:r>
      <w:r w:rsidR="00D90635" w:rsidRPr="00BB1E15">
        <w:rPr>
          <w:rFonts w:ascii="Times New Roman" w:hAnsi="Times New Roman" w:cs="Times New Roman"/>
        </w:rPr>
        <w:t>не реже 1 раза в месяц</w:t>
      </w:r>
      <w:r w:rsidRPr="00BB1E15">
        <w:rPr>
          <w:rFonts w:ascii="Times New Roman" w:hAnsi="Times New Roman" w:cs="Times New Roman"/>
        </w:rPr>
        <w:t xml:space="preserve"> </w:t>
      </w:r>
      <w:r w:rsidR="00D90635" w:rsidRPr="00BB1E15">
        <w:rPr>
          <w:rFonts w:ascii="Times New Roman" w:hAnsi="Times New Roman" w:cs="Times New Roman"/>
        </w:rPr>
        <w:t xml:space="preserve">на основании данных, предоставленных Управлением ценных бумаг, </w:t>
      </w:r>
      <w:r w:rsidRPr="00BB1E15">
        <w:rPr>
          <w:rFonts w:ascii="Times New Roman" w:hAnsi="Times New Roman" w:cs="Times New Roman"/>
        </w:rPr>
        <w:t>осуществляет мониторинг правильности оценки ценных бумаг по справедливой стоимости в части контроля индикаторов, указанных в Приложении №2 к настоящей Методике, при срабатывании которых оценка справедливой стоимости признается неадекватной и требует внесения корректировок.</w:t>
      </w:r>
    </w:p>
    <w:p w14:paraId="7CA457E7" w14:textId="77777777" w:rsidR="00BC7994" w:rsidRPr="00BB1E15" w:rsidRDefault="00BC7994"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Управление ценных бумаг осуществляет контроль за снижением цены (роста уровня доходности) ценной бумаги и в случае достижения уровней, указанных в </w:t>
      </w:r>
      <w:r w:rsidR="00A20B45" w:rsidRPr="00BB1E15">
        <w:rPr>
          <w:rFonts w:ascii="Times New Roman" w:hAnsi="Times New Roman" w:cs="Times New Roman"/>
        </w:rPr>
        <w:t xml:space="preserve">Приложении №2 к </w:t>
      </w:r>
      <w:r w:rsidR="00A20B45" w:rsidRPr="00BB1E15">
        <w:rPr>
          <w:rFonts w:ascii="Times New Roman" w:hAnsi="Times New Roman" w:cs="Times New Roman"/>
        </w:rPr>
        <w:lastRenderedPageBreak/>
        <w:t>настоящей Методике, информирует об этом Управление контроля рисков и Управление сопровождения операций (Бэк-офис).</w:t>
      </w:r>
    </w:p>
    <w:p w14:paraId="47CD2C28" w14:textId="5C177DFA" w:rsidR="00A817F0" w:rsidRPr="00BB1E15" w:rsidRDefault="00A817F0"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Управление контроля рисков осуществляет проверку адекватности методов определения справедливой стоимости не реже 1 раза в месяц в отношении ценных бумаг, оцениваемых по справедливой стоимости.</w:t>
      </w:r>
    </w:p>
    <w:p w14:paraId="2523E275" w14:textId="60C1AF21" w:rsidR="00A00175" w:rsidRPr="00BB1E15" w:rsidRDefault="00A00175"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Органы управления Банка информируются о необходимых поправках к оценкам финансовых инструментов по справедливой стоимости, существенным образом влияющих на капитал и финансовый результат.</w:t>
      </w:r>
    </w:p>
    <w:p w14:paraId="6CB379DE" w14:textId="77777777" w:rsidR="00073047" w:rsidRPr="00BB1E15" w:rsidRDefault="00073047"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Служба внутреннего аудита Банка осуществляет контроль правильности оценки определения справедливой стоимости финансовых инструментов и адекватности методологии определения справедливой стоимости в ходе проверок, проводимых согласно утвержденному плану работы. Результаты проводимых проверок отражаются во внутренних документах Банка согласно установленному в Банке порядку.</w:t>
      </w:r>
    </w:p>
    <w:p w14:paraId="6E5668A7" w14:textId="6EA53785" w:rsidR="007D7F3A" w:rsidRPr="00BB1E15" w:rsidRDefault="007D7F3A"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Банк проводит мониторинг адекватности справедливой стоимости</w:t>
      </w:r>
      <w:r w:rsidR="006E5ABF" w:rsidRPr="00BB1E15">
        <w:rPr>
          <w:rFonts w:ascii="Times New Roman" w:hAnsi="Times New Roman" w:cs="Times New Roman"/>
        </w:rPr>
        <w:t xml:space="preserve"> ПФИ</w:t>
      </w:r>
      <w:r w:rsidRPr="00BB1E15">
        <w:rPr>
          <w:rFonts w:ascii="Times New Roman" w:hAnsi="Times New Roman" w:cs="Times New Roman"/>
        </w:rPr>
        <w:t xml:space="preserve"> на регулярной основе, но не реже 1 раза в месяц (в последний рабочий день месяца). Мониторинг адекватности справедливой стоимости осуществляется Управлением контроля рисков на основе данных, предоставленных Управлением ценных бумаг/Управлением дилинга и МБК (в зависимости от вида ПФИ).</w:t>
      </w:r>
    </w:p>
    <w:p w14:paraId="03F9B7DF" w14:textId="5DCD6542" w:rsidR="007D7F3A" w:rsidRPr="00BB1E15" w:rsidRDefault="007D7F3A" w:rsidP="0058261C">
      <w:pPr>
        <w:pStyle w:val="a8"/>
        <w:widowControl/>
        <w:numPr>
          <w:ilvl w:val="1"/>
          <w:numId w:val="3"/>
        </w:numPr>
        <w:tabs>
          <w:tab w:val="left" w:pos="993"/>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 случае если по результатам мониторинга справедливая стоимость ПФИ, определенная на основании исходных данных Уровня 1, была признана неадекватной, справедливая стоимость указанного ПФИ определяется с помощью наблюдаемых и ненаблюдаемых исходных данных Уровня 2 и 3 с применением соответствующих корректировок. Уровень иерархии справедливой стоимости в данном случае снижается до Уровня 2 или 3, соответственно, в зависимости от используемых исходных данных.</w:t>
      </w:r>
    </w:p>
    <w:p w14:paraId="78227FA6" w14:textId="77777777" w:rsidR="00A817F0" w:rsidRPr="00BB1E15" w:rsidRDefault="00A817F0" w:rsidP="00B62BA5">
      <w:pPr>
        <w:autoSpaceDE w:val="0"/>
        <w:autoSpaceDN w:val="0"/>
        <w:adjustRightInd w:val="0"/>
        <w:jc w:val="both"/>
        <w:rPr>
          <w:rFonts w:ascii="Times New Roman" w:hAnsi="Times New Roman" w:cs="Times New Roman"/>
          <w:bCs/>
        </w:rPr>
      </w:pPr>
    </w:p>
    <w:p w14:paraId="5E87F27F" w14:textId="77777777" w:rsidR="009F3998" w:rsidRPr="00BB1E15" w:rsidRDefault="009F3998">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Критерии надежного определения справедливой стоимости.</w:t>
      </w:r>
    </w:p>
    <w:p w14:paraId="206EE142" w14:textId="77777777" w:rsidR="009F3998" w:rsidRPr="00BB1E15" w:rsidRDefault="009F3998" w:rsidP="00B62BA5">
      <w:pPr>
        <w:autoSpaceDE w:val="0"/>
        <w:autoSpaceDN w:val="0"/>
        <w:adjustRightInd w:val="0"/>
        <w:jc w:val="both"/>
        <w:rPr>
          <w:rFonts w:ascii="Times New Roman" w:hAnsi="Times New Roman" w:cs="Times New Roman"/>
          <w:bCs/>
        </w:rPr>
      </w:pPr>
    </w:p>
    <w:p w14:paraId="58C462C3" w14:textId="6B999090" w:rsidR="009F3998" w:rsidRPr="00BB1E15" w:rsidRDefault="009F3998"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Банк может использовать справедливую стоимость </w:t>
      </w:r>
      <w:r w:rsidR="00AF3531" w:rsidRPr="00BB1E15">
        <w:rPr>
          <w:rFonts w:ascii="Times New Roman" w:hAnsi="Times New Roman" w:cs="Times New Roman"/>
        </w:rPr>
        <w:t xml:space="preserve">ценных бумаг </w:t>
      </w:r>
      <w:r w:rsidRPr="00BB1E15">
        <w:rPr>
          <w:rFonts w:ascii="Times New Roman" w:hAnsi="Times New Roman" w:cs="Times New Roman"/>
        </w:rPr>
        <w:t>для проведения переоценки в том случае, если она удовлетворяет критериям надежного определения справедливой стоимости</w:t>
      </w:r>
      <w:r w:rsidR="005A10A8" w:rsidRPr="00BB1E15">
        <w:rPr>
          <w:rFonts w:ascii="Times New Roman" w:hAnsi="Times New Roman" w:cs="Times New Roman"/>
        </w:rPr>
        <w:t>.</w:t>
      </w:r>
    </w:p>
    <w:p w14:paraId="010DBF1E" w14:textId="77777777" w:rsidR="009F3998" w:rsidRPr="00BB1E15" w:rsidRDefault="009F3998"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Критериями надежного определения справедливой стоимости являются:</w:t>
      </w:r>
    </w:p>
    <w:p w14:paraId="07698113" w14:textId="64355B47" w:rsidR="009F3998" w:rsidRPr="00BB1E15" w:rsidRDefault="009F3998"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отсутствие признаков обесценения ценной бумаги, указанных в Приложении №</w:t>
      </w:r>
      <w:r w:rsidR="005A10A8" w:rsidRPr="00BB1E15">
        <w:rPr>
          <w:rFonts w:ascii="Times New Roman" w:hAnsi="Times New Roman" w:cs="Times New Roman"/>
        </w:rPr>
        <w:t xml:space="preserve"> </w:t>
      </w:r>
      <w:r w:rsidRPr="00BB1E15">
        <w:rPr>
          <w:rFonts w:ascii="Times New Roman" w:hAnsi="Times New Roman" w:cs="Times New Roman"/>
        </w:rPr>
        <w:t>2 к настоящей Методике;</w:t>
      </w:r>
    </w:p>
    <w:p w14:paraId="75895898" w14:textId="01E3BF74" w:rsidR="009F3998" w:rsidRPr="00BB1E15" w:rsidRDefault="009F3998"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наличие активного рынка и/или регулярное проведение процедуры мониторинга адекватности справедливой стоимости с применением соответствующих корректировок.</w:t>
      </w:r>
    </w:p>
    <w:p w14:paraId="0D2F3523" w14:textId="3BC3BA89" w:rsidR="00D75A4D" w:rsidRPr="00BB1E15" w:rsidRDefault="00D75A4D"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Банк может использовать справедливую стоимость</w:t>
      </w:r>
      <w:r w:rsidR="00AF3531" w:rsidRPr="00BB1E15">
        <w:rPr>
          <w:rFonts w:ascii="Times New Roman" w:hAnsi="Times New Roman" w:cs="Times New Roman"/>
        </w:rPr>
        <w:t xml:space="preserve"> ПФИ</w:t>
      </w:r>
      <w:r w:rsidRPr="00BB1E15">
        <w:rPr>
          <w:rFonts w:ascii="Times New Roman" w:hAnsi="Times New Roman" w:cs="Times New Roman"/>
        </w:rPr>
        <w:t xml:space="preserve"> для проведения переоценки, в том случае если она удовлетворяет критериям надежного определения справедливой стоимости.</w:t>
      </w:r>
    </w:p>
    <w:p w14:paraId="6716324A" w14:textId="0788634F" w:rsidR="00D75A4D" w:rsidRPr="00BB1E15" w:rsidRDefault="00D75A4D"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Критериями надежного определения справедливой стоимости являются:</w:t>
      </w:r>
    </w:p>
    <w:p w14:paraId="59943206" w14:textId="7D4BD287" w:rsidR="00D75A4D" w:rsidRPr="00BB1E15" w:rsidRDefault="00D75A4D"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 отсутствие признаков обесценения в части снижения стоимости ценных бумаг, перечисленных в п. </w:t>
      </w:r>
      <w:r w:rsidR="00AF3531" w:rsidRPr="00BB1E15">
        <w:rPr>
          <w:rFonts w:ascii="Times New Roman" w:hAnsi="Times New Roman" w:cs="Times New Roman"/>
        </w:rPr>
        <w:t>9</w:t>
      </w:r>
      <w:r w:rsidRPr="00BB1E15">
        <w:rPr>
          <w:rFonts w:ascii="Times New Roman" w:hAnsi="Times New Roman" w:cs="Times New Roman"/>
        </w:rPr>
        <w:t>.14. настоящей Методики;</w:t>
      </w:r>
    </w:p>
    <w:p w14:paraId="254FF4A9" w14:textId="77777777" w:rsidR="00D75A4D" w:rsidRPr="00BB1E15" w:rsidRDefault="00D75A4D" w:rsidP="00B62BA5">
      <w:pPr>
        <w:autoSpaceDE w:val="0"/>
        <w:autoSpaceDN w:val="0"/>
        <w:adjustRightInd w:val="0"/>
        <w:jc w:val="both"/>
        <w:rPr>
          <w:rFonts w:ascii="Times New Roman" w:hAnsi="Times New Roman" w:cs="Times New Roman"/>
        </w:rPr>
      </w:pPr>
      <w:r w:rsidRPr="00BB1E15">
        <w:rPr>
          <w:rFonts w:ascii="Times New Roman" w:hAnsi="Times New Roman" w:cs="Times New Roman"/>
        </w:rPr>
        <w:t>– наличие активного рынка и/или регулярное проведение процедуры мониторинга адекватности справедливой стоимости с применением соответствующих корректировок.</w:t>
      </w:r>
    </w:p>
    <w:p w14:paraId="3118A862" w14:textId="4F069966" w:rsidR="009F3998" w:rsidRDefault="009F3998" w:rsidP="00B62BA5">
      <w:pPr>
        <w:autoSpaceDE w:val="0"/>
        <w:autoSpaceDN w:val="0"/>
        <w:adjustRightInd w:val="0"/>
        <w:jc w:val="both"/>
        <w:rPr>
          <w:rFonts w:ascii="Times New Roman" w:hAnsi="Times New Roman" w:cs="Times New Roman"/>
          <w:bCs/>
        </w:rPr>
      </w:pPr>
    </w:p>
    <w:p w14:paraId="4B37AE9B" w14:textId="323244E7" w:rsidR="0058261C" w:rsidRDefault="0058261C" w:rsidP="00B62BA5">
      <w:pPr>
        <w:autoSpaceDE w:val="0"/>
        <w:autoSpaceDN w:val="0"/>
        <w:adjustRightInd w:val="0"/>
        <w:jc w:val="both"/>
        <w:rPr>
          <w:rFonts w:ascii="Times New Roman" w:hAnsi="Times New Roman" w:cs="Times New Roman"/>
          <w:bCs/>
        </w:rPr>
      </w:pPr>
    </w:p>
    <w:p w14:paraId="4D8A2E87" w14:textId="77777777" w:rsidR="0058261C" w:rsidRPr="00BB1E15" w:rsidRDefault="0058261C" w:rsidP="00B62BA5">
      <w:pPr>
        <w:autoSpaceDE w:val="0"/>
        <w:autoSpaceDN w:val="0"/>
        <w:adjustRightInd w:val="0"/>
        <w:jc w:val="both"/>
        <w:rPr>
          <w:rFonts w:ascii="Times New Roman" w:hAnsi="Times New Roman" w:cs="Times New Roman"/>
          <w:bCs/>
        </w:rPr>
      </w:pPr>
    </w:p>
    <w:p w14:paraId="1AF9594A" w14:textId="3CAF865A" w:rsidR="004A1F05" w:rsidRPr="00BB1E15" w:rsidRDefault="004A1F05">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Контроль правильности определения справедливой стоимости.</w:t>
      </w:r>
    </w:p>
    <w:p w14:paraId="6AE324D3" w14:textId="77777777" w:rsidR="004A1F05" w:rsidRPr="00BB1E15" w:rsidRDefault="004A1F05" w:rsidP="00B62BA5">
      <w:pPr>
        <w:autoSpaceDE w:val="0"/>
        <w:autoSpaceDN w:val="0"/>
        <w:adjustRightInd w:val="0"/>
        <w:jc w:val="both"/>
        <w:rPr>
          <w:rFonts w:ascii="Times New Roman" w:hAnsi="Times New Roman" w:cs="Times New Roman"/>
          <w:bCs/>
        </w:rPr>
      </w:pPr>
    </w:p>
    <w:p w14:paraId="2708B4A8" w14:textId="7289FBEA" w:rsidR="004A1F05" w:rsidRPr="00BB1E15" w:rsidRDefault="004A1F05"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 xml:space="preserve">Служба внутреннего аудита Банка осуществляет контроль правильности оценки определения справедливой стоимости ПФИ и адекватности методологии определения справедливой стоимости в ходе проверок, проводимых согласно утвержденному Советом директоров Банка плану работы на текущий год. Результаты проводимых проверок отражаются во внутренних документах Банка согласно установленному в Банке порядку. </w:t>
      </w:r>
    </w:p>
    <w:p w14:paraId="14074A34" w14:textId="6183CC25" w:rsidR="004A1F05" w:rsidRPr="00BB1E15" w:rsidRDefault="004A1F05"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w:t>
      </w:r>
      <w:r w:rsidR="005A10A8" w:rsidRPr="00BB1E15">
        <w:rPr>
          <w:rFonts w:ascii="Times New Roman" w:hAnsi="Times New Roman" w:cs="Times New Roman"/>
        </w:rPr>
        <w:t xml:space="preserve"> ходе контроля за достоверностью отражения активов по справедливой стоимости Банк </w:t>
      </w:r>
      <w:r w:rsidR="009E326F" w:rsidRPr="00BB1E15">
        <w:rPr>
          <w:rFonts w:ascii="Times New Roman" w:hAnsi="Times New Roman" w:cs="Times New Roman"/>
        </w:rPr>
        <w:t>руководствуется требованиями положений</w:t>
      </w:r>
      <w:r w:rsidRPr="00BB1E15">
        <w:rPr>
          <w:rFonts w:ascii="Times New Roman" w:hAnsi="Times New Roman" w:cs="Times New Roman"/>
        </w:rPr>
        <w:t xml:space="preserve"> Письма </w:t>
      </w:r>
      <w:r w:rsidR="009E326F" w:rsidRPr="00BB1E15">
        <w:rPr>
          <w:rFonts w:ascii="Times New Roman" w:hAnsi="Times New Roman" w:cs="Times New Roman"/>
        </w:rPr>
        <w:t xml:space="preserve">Банка России </w:t>
      </w:r>
      <w:r w:rsidRPr="00BB1E15">
        <w:rPr>
          <w:rFonts w:ascii="Times New Roman" w:hAnsi="Times New Roman" w:cs="Times New Roman"/>
        </w:rPr>
        <w:t>№ 37-Т.</w:t>
      </w:r>
    </w:p>
    <w:p w14:paraId="181472B7" w14:textId="77777777" w:rsidR="001820D6" w:rsidRPr="001820D6" w:rsidRDefault="001820D6" w:rsidP="00B62BA5">
      <w:pPr>
        <w:autoSpaceDE w:val="0"/>
        <w:autoSpaceDN w:val="0"/>
        <w:adjustRightInd w:val="0"/>
        <w:jc w:val="both"/>
        <w:rPr>
          <w:rFonts w:ascii="Times New Roman" w:hAnsi="Times New Roman" w:cs="Times New Roman"/>
          <w:bCs/>
          <w:sz w:val="20"/>
          <w:szCs w:val="20"/>
        </w:rPr>
      </w:pPr>
    </w:p>
    <w:p w14:paraId="1A007BB7" w14:textId="77777777" w:rsidR="004F7582" w:rsidRPr="00BB1E15" w:rsidRDefault="00A817F0">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Хранение и защита информации</w:t>
      </w:r>
    </w:p>
    <w:p w14:paraId="1F96D33B" w14:textId="77777777" w:rsidR="004F7582" w:rsidRPr="00BB1E15" w:rsidRDefault="004F7582" w:rsidP="00B62BA5">
      <w:pPr>
        <w:autoSpaceDE w:val="0"/>
        <w:autoSpaceDN w:val="0"/>
        <w:adjustRightInd w:val="0"/>
        <w:jc w:val="both"/>
        <w:rPr>
          <w:rFonts w:ascii="Times New Roman" w:hAnsi="Times New Roman" w:cs="Times New Roman"/>
          <w:bCs/>
        </w:rPr>
      </w:pPr>
    </w:p>
    <w:p w14:paraId="7832374D" w14:textId="6581ECDA" w:rsidR="004F7582" w:rsidRPr="00BB1E15" w:rsidRDefault="004F7582"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lastRenderedPageBreak/>
        <w:t xml:space="preserve">Банк обеспечивает надежное хранение и защиту всей информации, используемой при оценке справедливой стоимости </w:t>
      </w:r>
      <w:r w:rsidR="006A7FE0" w:rsidRPr="00BB1E15">
        <w:rPr>
          <w:rFonts w:ascii="Times New Roman" w:hAnsi="Times New Roman" w:cs="Times New Roman"/>
        </w:rPr>
        <w:t>финансовых инструментов</w:t>
      </w:r>
      <w:r w:rsidRPr="00BB1E15">
        <w:rPr>
          <w:rFonts w:ascii="Times New Roman" w:hAnsi="Times New Roman" w:cs="Times New Roman"/>
        </w:rPr>
        <w:t xml:space="preserve">, в отношении исходных данных о ценовых котировках, информации о проведенных сделках, стоимости </w:t>
      </w:r>
      <w:r w:rsidR="006A7FE0" w:rsidRPr="00BB1E15">
        <w:rPr>
          <w:rFonts w:ascii="Times New Roman" w:hAnsi="Times New Roman" w:cs="Times New Roman"/>
        </w:rPr>
        <w:t>финансовых инструментов</w:t>
      </w:r>
      <w:r w:rsidRPr="00BB1E15">
        <w:rPr>
          <w:rFonts w:ascii="Times New Roman" w:hAnsi="Times New Roman" w:cs="Times New Roman"/>
        </w:rPr>
        <w:t>, полученной от организаторов торгов</w:t>
      </w:r>
      <w:r w:rsidR="009F3998" w:rsidRPr="00BB1E15">
        <w:rPr>
          <w:rFonts w:ascii="Times New Roman" w:hAnsi="Times New Roman" w:cs="Times New Roman"/>
        </w:rPr>
        <w:t xml:space="preserve"> (иных источников информации)</w:t>
      </w:r>
      <w:r w:rsidRPr="00BB1E15">
        <w:rPr>
          <w:rFonts w:ascii="Times New Roman" w:hAnsi="Times New Roman" w:cs="Times New Roman"/>
        </w:rPr>
        <w:t xml:space="preserve">, и иной информации, используемой при определении справедливой стоимости </w:t>
      </w:r>
      <w:r w:rsidR="00C77AC3" w:rsidRPr="00BB1E15">
        <w:rPr>
          <w:rFonts w:ascii="Times New Roman" w:hAnsi="Times New Roman" w:cs="Times New Roman"/>
        </w:rPr>
        <w:t>финансовых инструментов</w:t>
      </w:r>
      <w:r w:rsidRPr="00BB1E15">
        <w:rPr>
          <w:rFonts w:ascii="Times New Roman" w:hAnsi="Times New Roman" w:cs="Times New Roman"/>
        </w:rPr>
        <w:t>. Срок хранения данной информации не менее 5 лет с момента ее использования.</w:t>
      </w:r>
    </w:p>
    <w:p w14:paraId="39808001" w14:textId="7A481D8F" w:rsidR="004F7582" w:rsidRPr="00BB1E15" w:rsidRDefault="004F7582"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BB1E15">
        <w:rPr>
          <w:rFonts w:ascii="Times New Roman" w:hAnsi="Times New Roman" w:cs="Times New Roman"/>
        </w:rPr>
        <w:t>В случае утери или повреждения исходных данных Банк вправе использовать информацию организаторов торговли, которая является общедоступной, публикуется на официальном сайте в информационно-телекоммуникационной сети Интернет и предоставляется на бесплатной основе</w:t>
      </w:r>
      <w:r w:rsidR="00B62BA5" w:rsidRPr="00BB1E15">
        <w:rPr>
          <w:rFonts w:ascii="Times New Roman" w:hAnsi="Times New Roman" w:cs="Times New Roman"/>
        </w:rPr>
        <w:t>, информацию участников рынка</w:t>
      </w:r>
      <w:r w:rsidRPr="00BB1E15">
        <w:rPr>
          <w:rFonts w:ascii="Times New Roman" w:hAnsi="Times New Roman" w:cs="Times New Roman"/>
        </w:rPr>
        <w:t xml:space="preserve"> и информацию информационной системы Блумберг (Bloomberg)</w:t>
      </w:r>
      <w:r w:rsidR="001D7377" w:rsidRPr="00BB1E15">
        <w:rPr>
          <w:rFonts w:ascii="Times New Roman" w:hAnsi="Times New Roman" w:cs="Times New Roman"/>
        </w:rPr>
        <w:t xml:space="preserve"> при наличии последней</w:t>
      </w:r>
      <w:r w:rsidRPr="00BB1E15">
        <w:rPr>
          <w:rFonts w:ascii="Times New Roman" w:hAnsi="Times New Roman" w:cs="Times New Roman"/>
        </w:rPr>
        <w:t>.</w:t>
      </w:r>
    </w:p>
    <w:p w14:paraId="530BECC7" w14:textId="77777777" w:rsidR="00D0779A" w:rsidRPr="00BB1E15" w:rsidRDefault="00D0779A" w:rsidP="00B62BA5">
      <w:pPr>
        <w:autoSpaceDE w:val="0"/>
        <w:autoSpaceDN w:val="0"/>
        <w:adjustRightInd w:val="0"/>
        <w:jc w:val="both"/>
        <w:rPr>
          <w:rFonts w:ascii="Times New Roman" w:hAnsi="Times New Roman" w:cs="Times New Roman"/>
          <w:bCs/>
        </w:rPr>
      </w:pPr>
    </w:p>
    <w:p w14:paraId="11BB8A19" w14:textId="77777777" w:rsidR="004F7582" w:rsidRPr="00BB1E15" w:rsidRDefault="00DD5C8C">
      <w:pPr>
        <w:pStyle w:val="a8"/>
        <w:keepNext/>
        <w:keepLines/>
        <w:numPr>
          <w:ilvl w:val="0"/>
          <w:numId w:val="3"/>
        </w:numPr>
        <w:tabs>
          <w:tab w:val="left" w:pos="1035"/>
        </w:tabs>
        <w:jc w:val="center"/>
        <w:outlineLvl w:val="3"/>
        <w:rPr>
          <w:rFonts w:ascii="Times New Roman" w:hAnsi="Times New Roman" w:cs="Times New Roman"/>
          <w:b/>
        </w:rPr>
      </w:pPr>
      <w:r w:rsidRPr="00BB1E15">
        <w:rPr>
          <w:rFonts w:ascii="Times New Roman" w:hAnsi="Times New Roman" w:cs="Times New Roman"/>
          <w:b/>
        </w:rPr>
        <w:t>Заключительные положения</w:t>
      </w:r>
    </w:p>
    <w:p w14:paraId="62AD8B7D" w14:textId="77777777" w:rsidR="00F17517" w:rsidRPr="00BB1E15" w:rsidRDefault="00F17517" w:rsidP="00B62BA5">
      <w:pPr>
        <w:autoSpaceDE w:val="0"/>
        <w:autoSpaceDN w:val="0"/>
        <w:adjustRightInd w:val="0"/>
        <w:jc w:val="both"/>
        <w:rPr>
          <w:rFonts w:ascii="Times New Roman" w:hAnsi="Times New Roman" w:cs="Times New Roman"/>
          <w:bCs/>
        </w:rPr>
      </w:pPr>
    </w:p>
    <w:p w14:paraId="36CD3345" w14:textId="26F25D55" w:rsidR="00DD5C8C" w:rsidRPr="004F09A1" w:rsidRDefault="00DD5C8C"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4F09A1">
        <w:rPr>
          <w:rFonts w:ascii="Times New Roman" w:hAnsi="Times New Roman" w:cs="Times New Roman"/>
        </w:rPr>
        <w:t>Подходы, изложенные в настоящей Методике, подлежат регулярному пересмотру (не реже 1 раза в год).</w:t>
      </w:r>
    </w:p>
    <w:p w14:paraId="56136496" w14:textId="1B62885E" w:rsidR="00BD10AE" w:rsidRDefault="00DD5C8C" w:rsidP="00F161E3">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4F09A1">
        <w:rPr>
          <w:rFonts w:ascii="Times New Roman" w:hAnsi="Times New Roman" w:cs="Times New Roman"/>
        </w:rPr>
        <w:t>В случае изменения действующего законодательства</w:t>
      </w:r>
      <w:r w:rsidR="001D7377" w:rsidRPr="004F09A1">
        <w:rPr>
          <w:rFonts w:ascii="Times New Roman" w:hAnsi="Times New Roman" w:cs="Times New Roman"/>
        </w:rPr>
        <w:t xml:space="preserve"> Российской Федерации</w:t>
      </w:r>
      <w:r w:rsidRPr="004F09A1">
        <w:rPr>
          <w:rFonts w:ascii="Times New Roman" w:hAnsi="Times New Roman" w:cs="Times New Roman"/>
        </w:rPr>
        <w:t>, внесения изменений в нормативные документы Банка России и иных органов, а также внутрибанковских документов, до приведения настоящей Методики в соответствие с такими изменениями, настоящий документ действует в части, не противоречащей действующему законодательству</w:t>
      </w:r>
      <w:r w:rsidR="001D7377" w:rsidRPr="004F09A1">
        <w:rPr>
          <w:rFonts w:ascii="Times New Roman" w:hAnsi="Times New Roman" w:cs="Times New Roman"/>
        </w:rPr>
        <w:t xml:space="preserve"> Российской Федерации</w:t>
      </w:r>
      <w:r w:rsidRPr="004F09A1">
        <w:rPr>
          <w:rFonts w:ascii="Times New Roman" w:hAnsi="Times New Roman" w:cs="Times New Roman"/>
        </w:rPr>
        <w:t xml:space="preserve"> и действующим внутрибанковским документам.</w:t>
      </w:r>
    </w:p>
    <w:p w14:paraId="7934B761" w14:textId="230C6E96" w:rsidR="00DD5C8C" w:rsidRPr="00F161E3" w:rsidRDefault="00BE7A9D" w:rsidP="00F161E3">
      <w:pPr>
        <w:pStyle w:val="a8"/>
        <w:widowControl/>
        <w:tabs>
          <w:tab w:val="left" w:pos="851"/>
        </w:tabs>
        <w:autoSpaceDE w:val="0"/>
        <w:autoSpaceDN w:val="0"/>
        <w:adjustRightInd w:val="0"/>
        <w:ind w:left="284"/>
        <w:jc w:val="both"/>
        <w:rPr>
          <w:rFonts w:ascii="Times New Roman" w:hAnsi="Times New Roman" w:cs="Times New Roman"/>
        </w:rPr>
      </w:pPr>
      <w:r w:rsidRPr="00F161E3">
        <w:rPr>
          <w:rFonts w:ascii="Times New Roman" w:hAnsi="Times New Roman" w:cs="Times New Roman"/>
        </w:rPr>
        <w:t xml:space="preserve">В случае </w:t>
      </w:r>
      <w:r w:rsidR="002B1F15" w:rsidRPr="004F09A1">
        <w:rPr>
          <w:rFonts w:ascii="Times New Roman" w:hAnsi="Times New Roman" w:cs="Times New Roman"/>
        </w:rPr>
        <w:t>принятия решени</w:t>
      </w:r>
      <w:r w:rsidR="00E50196">
        <w:rPr>
          <w:rFonts w:ascii="Times New Roman" w:hAnsi="Times New Roman" w:cs="Times New Roman"/>
        </w:rPr>
        <w:t>й</w:t>
      </w:r>
      <w:r w:rsidR="002B1F15" w:rsidRPr="004F09A1">
        <w:rPr>
          <w:rFonts w:ascii="Times New Roman" w:hAnsi="Times New Roman" w:cs="Times New Roman"/>
        </w:rPr>
        <w:t xml:space="preserve"> </w:t>
      </w:r>
      <w:r w:rsidR="00E50196">
        <w:rPr>
          <w:rFonts w:ascii="Times New Roman" w:hAnsi="Times New Roman" w:cs="Times New Roman"/>
        </w:rPr>
        <w:t>Советом директоров Банка России</w:t>
      </w:r>
      <w:r w:rsidR="00341215" w:rsidRPr="004F09A1">
        <w:rPr>
          <w:rFonts w:ascii="Times New Roman" w:hAnsi="Times New Roman" w:cs="Times New Roman"/>
        </w:rPr>
        <w:t>,</w:t>
      </w:r>
      <w:r w:rsidR="00E50196">
        <w:rPr>
          <w:rFonts w:ascii="Times New Roman" w:hAnsi="Times New Roman" w:cs="Times New Roman"/>
        </w:rPr>
        <w:t xml:space="preserve"> государственными органами</w:t>
      </w:r>
      <w:r w:rsidR="0096001D">
        <w:rPr>
          <w:rFonts w:ascii="Times New Roman" w:hAnsi="Times New Roman" w:cs="Times New Roman"/>
        </w:rPr>
        <w:t xml:space="preserve"> </w:t>
      </w:r>
      <w:r w:rsidR="0096001D" w:rsidRPr="00CE0608">
        <w:rPr>
          <w:rFonts w:ascii="Times New Roman" w:hAnsi="Times New Roman" w:cs="Times New Roman"/>
        </w:rPr>
        <w:t>или на основании принимаемых нормативно-правовых актов Р</w:t>
      </w:r>
      <w:r w:rsidR="0096001D">
        <w:rPr>
          <w:rFonts w:ascii="Times New Roman" w:hAnsi="Times New Roman" w:cs="Times New Roman"/>
        </w:rPr>
        <w:t xml:space="preserve">оссийской </w:t>
      </w:r>
      <w:r w:rsidR="0096001D" w:rsidRPr="00CE0608">
        <w:rPr>
          <w:rFonts w:ascii="Times New Roman" w:hAnsi="Times New Roman" w:cs="Times New Roman"/>
        </w:rPr>
        <w:t>Ф</w:t>
      </w:r>
      <w:r w:rsidR="0096001D">
        <w:rPr>
          <w:rFonts w:ascii="Times New Roman" w:hAnsi="Times New Roman" w:cs="Times New Roman"/>
        </w:rPr>
        <w:t>едерации</w:t>
      </w:r>
      <w:r w:rsidR="007742C9">
        <w:rPr>
          <w:rFonts w:ascii="Times New Roman" w:hAnsi="Times New Roman" w:cs="Times New Roman"/>
        </w:rPr>
        <w:t xml:space="preserve">, </w:t>
      </w:r>
      <w:r w:rsidR="006B1657" w:rsidRPr="00F161E3">
        <w:rPr>
          <w:rFonts w:ascii="Times New Roman" w:hAnsi="Times New Roman" w:cs="Times New Roman"/>
        </w:rPr>
        <w:t>обеспечивающ</w:t>
      </w:r>
      <w:r w:rsidR="00571B05">
        <w:rPr>
          <w:rFonts w:ascii="Times New Roman" w:hAnsi="Times New Roman" w:cs="Times New Roman"/>
        </w:rPr>
        <w:t>их</w:t>
      </w:r>
      <w:r w:rsidR="006B1657" w:rsidRPr="00F161E3">
        <w:rPr>
          <w:rFonts w:ascii="Times New Roman" w:hAnsi="Times New Roman" w:cs="Times New Roman"/>
        </w:rPr>
        <w:t xml:space="preserve"> реагирование на меняющиеся обстоятельства и условия</w:t>
      </w:r>
      <w:r w:rsidR="004F09A1">
        <w:rPr>
          <w:rFonts w:ascii="Times New Roman" w:hAnsi="Times New Roman" w:cs="Times New Roman"/>
        </w:rPr>
        <w:t xml:space="preserve">, действие </w:t>
      </w:r>
      <w:r w:rsidR="00A768C8">
        <w:rPr>
          <w:rFonts w:ascii="Times New Roman" w:hAnsi="Times New Roman" w:cs="Times New Roman"/>
        </w:rPr>
        <w:t xml:space="preserve">настоящей Методики может быть приостановлено до </w:t>
      </w:r>
      <w:r w:rsidR="00571B05">
        <w:rPr>
          <w:rFonts w:ascii="Times New Roman" w:hAnsi="Times New Roman" w:cs="Times New Roman"/>
        </w:rPr>
        <w:t xml:space="preserve">окончания срока действия </w:t>
      </w:r>
      <w:r w:rsidR="0096001D">
        <w:rPr>
          <w:rFonts w:ascii="Times New Roman" w:hAnsi="Times New Roman" w:cs="Times New Roman"/>
        </w:rPr>
        <w:t>указанных решений</w:t>
      </w:r>
      <w:r w:rsidR="005C6D0F">
        <w:rPr>
          <w:rFonts w:ascii="Times New Roman" w:hAnsi="Times New Roman" w:cs="Times New Roman"/>
        </w:rPr>
        <w:t>.</w:t>
      </w:r>
    </w:p>
    <w:p w14:paraId="466685F3" w14:textId="06DA7234" w:rsidR="002264D6" w:rsidRPr="004F09A1" w:rsidRDefault="002264D6"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4F09A1">
        <w:rPr>
          <w:rFonts w:ascii="Times New Roman" w:hAnsi="Times New Roman" w:cs="Times New Roman"/>
        </w:rPr>
        <w:t xml:space="preserve">С целью раскрытия информации о методах определения справедливой стоимости </w:t>
      </w:r>
      <w:r w:rsidR="00144F8F" w:rsidRPr="004F09A1">
        <w:rPr>
          <w:rFonts w:ascii="Times New Roman" w:hAnsi="Times New Roman" w:cs="Times New Roman"/>
        </w:rPr>
        <w:t>финансовых инструментов</w:t>
      </w:r>
      <w:r w:rsidRPr="004F09A1">
        <w:rPr>
          <w:rFonts w:ascii="Times New Roman" w:hAnsi="Times New Roman" w:cs="Times New Roman"/>
        </w:rPr>
        <w:t xml:space="preserve"> неограниченному кругу лиц настоящая Методика подлежит размещению на официальном сайте Банка в сети Интернет.</w:t>
      </w:r>
    </w:p>
    <w:p w14:paraId="4106C1A8" w14:textId="1128B4A1" w:rsidR="00C83305" w:rsidRPr="004F09A1" w:rsidRDefault="00207645" w:rsidP="0058261C">
      <w:pPr>
        <w:pStyle w:val="a8"/>
        <w:widowControl/>
        <w:numPr>
          <w:ilvl w:val="1"/>
          <w:numId w:val="3"/>
        </w:numPr>
        <w:tabs>
          <w:tab w:val="left" w:pos="851"/>
        </w:tabs>
        <w:autoSpaceDE w:val="0"/>
        <w:autoSpaceDN w:val="0"/>
        <w:adjustRightInd w:val="0"/>
        <w:ind w:left="0" w:firstLine="284"/>
        <w:jc w:val="both"/>
        <w:rPr>
          <w:rFonts w:ascii="Times New Roman" w:hAnsi="Times New Roman" w:cs="Times New Roman"/>
        </w:rPr>
      </w:pPr>
      <w:r w:rsidRPr="004F09A1">
        <w:rPr>
          <w:rFonts w:ascii="Times New Roman" w:hAnsi="Times New Roman" w:cs="Times New Roman"/>
        </w:rPr>
        <w:t xml:space="preserve">Настоящая Методика утверждается Советом директоров, вступает в силу с момента ее утверждения и отменяет </w:t>
      </w:r>
      <w:bookmarkStart w:id="3" w:name="_Hlk123139222"/>
      <w:r w:rsidRPr="004F09A1">
        <w:rPr>
          <w:rFonts w:ascii="Times New Roman" w:hAnsi="Times New Roman" w:cs="Times New Roman"/>
        </w:rPr>
        <w:t xml:space="preserve">Методику определения справедливой стоимости </w:t>
      </w:r>
      <w:r w:rsidR="006D4D5D" w:rsidRPr="004F09A1">
        <w:rPr>
          <w:rFonts w:ascii="Times New Roman" w:hAnsi="Times New Roman" w:cs="Times New Roman"/>
        </w:rPr>
        <w:t>финансовых инструментов, утвержденную Советом директоров (Протокол</w:t>
      </w:r>
      <w:r w:rsidR="00E87089" w:rsidRPr="004F09A1">
        <w:rPr>
          <w:rFonts w:ascii="Times New Roman" w:hAnsi="Times New Roman" w:cs="Times New Roman"/>
        </w:rPr>
        <w:t xml:space="preserve"> №</w:t>
      </w:r>
      <w:r w:rsidR="00124B2B" w:rsidRPr="004F09A1">
        <w:rPr>
          <w:rFonts w:ascii="Times New Roman" w:hAnsi="Times New Roman" w:cs="Times New Roman"/>
        </w:rPr>
        <w:t xml:space="preserve"> </w:t>
      </w:r>
      <w:r w:rsidR="0047419B" w:rsidRPr="004F09A1">
        <w:rPr>
          <w:rFonts w:ascii="Times New Roman" w:hAnsi="Times New Roman" w:cs="Times New Roman"/>
          <w:lang w:val="en-US"/>
        </w:rPr>
        <w:t>55</w:t>
      </w:r>
      <w:r w:rsidR="0047419B" w:rsidRPr="004F09A1">
        <w:rPr>
          <w:rFonts w:ascii="Times New Roman" w:hAnsi="Times New Roman" w:cs="Times New Roman"/>
        </w:rPr>
        <w:t xml:space="preserve"> </w:t>
      </w:r>
      <w:r w:rsidR="004E0BF4" w:rsidRPr="004F09A1">
        <w:rPr>
          <w:rFonts w:ascii="Times New Roman" w:hAnsi="Times New Roman" w:cs="Times New Roman"/>
        </w:rPr>
        <w:t xml:space="preserve">от </w:t>
      </w:r>
      <w:r w:rsidR="0047419B" w:rsidRPr="004F09A1">
        <w:rPr>
          <w:rFonts w:ascii="Times New Roman" w:hAnsi="Times New Roman" w:cs="Times New Roman"/>
          <w:lang w:val="en-US"/>
        </w:rPr>
        <w:t>29</w:t>
      </w:r>
      <w:r w:rsidR="0047419B" w:rsidRPr="004F09A1">
        <w:rPr>
          <w:rFonts w:ascii="Times New Roman" w:hAnsi="Times New Roman" w:cs="Times New Roman"/>
        </w:rPr>
        <w:t xml:space="preserve"> декабря 2022</w:t>
      </w:r>
      <w:r w:rsidR="006D4D5D" w:rsidRPr="004F09A1">
        <w:rPr>
          <w:rFonts w:ascii="Times New Roman" w:hAnsi="Times New Roman" w:cs="Times New Roman"/>
        </w:rPr>
        <w:t>)</w:t>
      </w:r>
      <w:bookmarkEnd w:id="3"/>
      <w:r w:rsidR="00124B2B" w:rsidRPr="004F09A1">
        <w:rPr>
          <w:rFonts w:ascii="Times New Roman" w:hAnsi="Times New Roman" w:cs="Times New Roman"/>
        </w:rPr>
        <w:t>.</w:t>
      </w:r>
    </w:p>
    <w:p w14:paraId="38AB1D72" w14:textId="77777777" w:rsidR="0040768F" w:rsidRPr="0040768F" w:rsidRDefault="0040768F" w:rsidP="00B62BA5">
      <w:pPr>
        <w:widowControl/>
        <w:tabs>
          <w:tab w:val="left" w:pos="426"/>
        </w:tabs>
        <w:autoSpaceDE w:val="0"/>
        <w:autoSpaceDN w:val="0"/>
        <w:adjustRightInd w:val="0"/>
        <w:jc w:val="both"/>
        <w:rPr>
          <w:rFonts w:ascii="Times New Roman" w:hAnsi="Times New Roman" w:cs="Times New Roman"/>
          <w:sz w:val="20"/>
          <w:szCs w:val="20"/>
        </w:rPr>
      </w:pPr>
    </w:p>
    <w:p w14:paraId="3B403148" w14:textId="0CB3CB30" w:rsidR="0040768F" w:rsidRDefault="0040768F" w:rsidP="00B62BA5">
      <w:pPr>
        <w:rPr>
          <w:rFonts w:ascii="Times New Roman" w:hAnsi="Times New Roman" w:cs="Times New Roman"/>
          <w:sz w:val="20"/>
          <w:szCs w:val="20"/>
        </w:rPr>
      </w:pPr>
      <w:r>
        <w:rPr>
          <w:rFonts w:ascii="Times New Roman" w:hAnsi="Times New Roman" w:cs="Times New Roman"/>
          <w:sz w:val="20"/>
          <w:szCs w:val="20"/>
        </w:rPr>
        <w:br w:type="page"/>
      </w:r>
    </w:p>
    <w:p w14:paraId="28AF7C89" w14:textId="77777777" w:rsidR="00CB4A4A" w:rsidRPr="000D466B" w:rsidRDefault="00CB4A4A" w:rsidP="00B62BA5">
      <w:pPr>
        <w:autoSpaceDE w:val="0"/>
        <w:autoSpaceDN w:val="0"/>
        <w:adjustRightInd w:val="0"/>
        <w:jc w:val="right"/>
        <w:rPr>
          <w:rFonts w:ascii="Times New Roman" w:hAnsi="Times New Roman" w:cs="Times New Roman"/>
        </w:rPr>
      </w:pPr>
      <w:r w:rsidRPr="000D466B">
        <w:rPr>
          <w:rFonts w:ascii="Times New Roman" w:hAnsi="Times New Roman" w:cs="Times New Roman"/>
        </w:rPr>
        <w:lastRenderedPageBreak/>
        <w:t xml:space="preserve">Приложение </w:t>
      </w:r>
      <w:r w:rsidR="00ED0CD3" w:rsidRPr="000D466B">
        <w:rPr>
          <w:rFonts w:ascii="Times New Roman" w:hAnsi="Times New Roman" w:cs="Times New Roman"/>
        </w:rPr>
        <w:t>№</w:t>
      </w:r>
      <w:r w:rsidRPr="000D466B">
        <w:rPr>
          <w:rFonts w:ascii="Times New Roman" w:hAnsi="Times New Roman" w:cs="Times New Roman"/>
        </w:rPr>
        <w:t>1</w:t>
      </w:r>
    </w:p>
    <w:p w14:paraId="6F496464" w14:textId="77777777" w:rsidR="00CB4A4A" w:rsidRPr="000D466B" w:rsidRDefault="00CB4A4A" w:rsidP="00B62BA5">
      <w:pPr>
        <w:autoSpaceDE w:val="0"/>
        <w:autoSpaceDN w:val="0"/>
        <w:adjustRightInd w:val="0"/>
        <w:jc w:val="right"/>
        <w:rPr>
          <w:rFonts w:ascii="Times New Roman" w:hAnsi="Times New Roman" w:cs="Times New Roman"/>
        </w:rPr>
      </w:pPr>
    </w:p>
    <w:p w14:paraId="6D9D3B40" w14:textId="77777777" w:rsidR="00CB4A4A" w:rsidRPr="000D466B" w:rsidRDefault="00CB4A4A" w:rsidP="00B62BA5">
      <w:pPr>
        <w:autoSpaceDE w:val="0"/>
        <w:autoSpaceDN w:val="0"/>
        <w:adjustRightInd w:val="0"/>
        <w:jc w:val="center"/>
        <w:rPr>
          <w:rFonts w:ascii="Times New Roman" w:hAnsi="Times New Roman" w:cs="Times New Roman"/>
          <w:b/>
        </w:rPr>
      </w:pPr>
      <w:r w:rsidRPr="000D466B">
        <w:rPr>
          <w:rFonts w:ascii="Times New Roman" w:hAnsi="Times New Roman" w:cs="Times New Roman"/>
          <w:b/>
        </w:rPr>
        <w:t>Иерархия исходных данных для определения справедливой стоимости ценных бумаг</w:t>
      </w:r>
    </w:p>
    <w:p w14:paraId="43F6E7E2" w14:textId="77777777" w:rsidR="00CB4A4A" w:rsidRPr="000D466B" w:rsidRDefault="00CB4A4A" w:rsidP="00B62BA5">
      <w:pPr>
        <w:autoSpaceDE w:val="0"/>
        <w:autoSpaceDN w:val="0"/>
        <w:adjustRightInd w:val="0"/>
        <w:jc w:val="center"/>
        <w:rPr>
          <w:rFonts w:ascii="Times New Roman" w:hAnsi="Times New Roman" w:cs="Times New Roman"/>
        </w:rPr>
      </w:pPr>
    </w:p>
    <w:tbl>
      <w:tblPr>
        <w:tblStyle w:val="ac"/>
        <w:tblW w:w="5000" w:type="pct"/>
        <w:tblLook w:val="04A0" w:firstRow="1" w:lastRow="0" w:firstColumn="1" w:lastColumn="0" w:noHBand="0" w:noVBand="1"/>
      </w:tblPr>
      <w:tblGrid>
        <w:gridCol w:w="1030"/>
        <w:gridCol w:w="2125"/>
        <w:gridCol w:w="3555"/>
        <w:gridCol w:w="239"/>
        <w:gridCol w:w="3249"/>
      </w:tblGrid>
      <w:tr w:rsidR="00CB4A4A" w:rsidRPr="009A1AD1" w14:paraId="5C1410CB" w14:textId="77777777" w:rsidTr="009A1AD1">
        <w:tc>
          <w:tcPr>
            <w:tcW w:w="505" w:type="pct"/>
          </w:tcPr>
          <w:p w14:paraId="722A96A6"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 xml:space="preserve">Исходные данные </w:t>
            </w:r>
          </w:p>
        </w:tc>
        <w:tc>
          <w:tcPr>
            <w:tcW w:w="1042" w:type="pct"/>
          </w:tcPr>
          <w:p w14:paraId="66E25E6E"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 xml:space="preserve">Метод определения справедливой стоимости </w:t>
            </w:r>
          </w:p>
        </w:tc>
        <w:tc>
          <w:tcPr>
            <w:tcW w:w="3454" w:type="pct"/>
            <w:gridSpan w:val="3"/>
          </w:tcPr>
          <w:p w14:paraId="154D932E" w14:textId="77777777" w:rsidR="00CB4A4A" w:rsidRPr="009A1AD1" w:rsidRDefault="00CB4A4A" w:rsidP="00B62BA5">
            <w:pPr>
              <w:pStyle w:val="a8"/>
              <w:autoSpaceDE w:val="0"/>
              <w:autoSpaceDN w:val="0"/>
              <w:adjustRightInd w:val="0"/>
              <w:ind w:left="0"/>
              <w:jc w:val="center"/>
              <w:rPr>
                <w:sz w:val="18"/>
                <w:szCs w:val="18"/>
              </w:rPr>
            </w:pPr>
            <w:r w:rsidRPr="009A1AD1">
              <w:rPr>
                <w:sz w:val="18"/>
                <w:szCs w:val="18"/>
              </w:rPr>
              <w:t>Приоритет использования исходных данных</w:t>
            </w:r>
          </w:p>
        </w:tc>
      </w:tr>
      <w:tr w:rsidR="00CB4A4A" w:rsidRPr="009A1AD1" w14:paraId="2760C246" w14:textId="77777777" w:rsidTr="009A1AD1">
        <w:tc>
          <w:tcPr>
            <w:tcW w:w="505" w:type="pct"/>
            <w:vMerge w:val="restart"/>
          </w:tcPr>
          <w:p w14:paraId="08D527B9"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1 уровень</w:t>
            </w:r>
          </w:p>
        </w:tc>
        <w:tc>
          <w:tcPr>
            <w:tcW w:w="1042" w:type="pct"/>
            <w:vMerge w:val="restart"/>
          </w:tcPr>
          <w:p w14:paraId="74618DDD"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Цена ценной бумаги на активном рынке</w:t>
            </w:r>
          </w:p>
        </w:tc>
        <w:tc>
          <w:tcPr>
            <w:tcW w:w="1743" w:type="pct"/>
          </w:tcPr>
          <w:p w14:paraId="5D8C5730"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Для ценных бумаг российских эмитентов</w:t>
            </w:r>
          </w:p>
        </w:tc>
        <w:tc>
          <w:tcPr>
            <w:tcW w:w="1711" w:type="pct"/>
            <w:gridSpan w:val="2"/>
          </w:tcPr>
          <w:p w14:paraId="63C8BF53" w14:textId="11D20818" w:rsidR="00CB4A4A" w:rsidRPr="009A1AD1" w:rsidRDefault="00CB4A4A" w:rsidP="00B62BA5">
            <w:pPr>
              <w:autoSpaceDE w:val="0"/>
              <w:autoSpaceDN w:val="0"/>
              <w:adjustRightInd w:val="0"/>
              <w:jc w:val="both"/>
              <w:rPr>
                <w:sz w:val="18"/>
                <w:szCs w:val="18"/>
              </w:rPr>
            </w:pPr>
            <w:r w:rsidRPr="009A1AD1">
              <w:rPr>
                <w:sz w:val="18"/>
                <w:szCs w:val="18"/>
              </w:rPr>
              <w:t>Для ценных бумаг иностранных эмитентов</w:t>
            </w:r>
          </w:p>
        </w:tc>
      </w:tr>
      <w:tr w:rsidR="00CB4A4A" w:rsidRPr="009A1AD1" w14:paraId="0DB7A289" w14:textId="77777777" w:rsidTr="009A1AD1">
        <w:tc>
          <w:tcPr>
            <w:tcW w:w="505" w:type="pct"/>
            <w:vMerge/>
          </w:tcPr>
          <w:p w14:paraId="4609B937" w14:textId="77777777" w:rsidR="00CB4A4A" w:rsidRPr="009A1AD1" w:rsidRDefault="00CB4A4A" w:rsidP="00B62BA5">
            <w:pPr>
              <w:pStyle w:val="a8"/>
              <w:autoSpaceDE w:val="0"/>
              <w:autoSpaceDN w:val="0"/>
              <w:adjustRightInd w:val="0"/>
              <w:ind w:left="0"/>
              <w:jc w:val="both"/>
              <w:rPr>
                <w:sz w:val="18"/>
                <w:szCs w:val="18"/>
              </w:rPr>
            </w:pPr>
          </w:p>
        </w:tc>
        <w:tc>
          <w:tcPr>
            <w:tcW w:w="1042" w:type="pct"/>
            <w:vMerge/>
          </w:tcPr>
          <w:p w14:paraId="7E135F40" w14:textId="77777777" w:rsidR="00CB4A4A" w:rsidRPr="009A1AD1" w:rsidRDefault="00CB4A4A" w:rsidP="00B62BA5">
            <w:pPr>
              <w:pStyle w:val="a8"/>
              <w:autoSpaceDE w:val="0"/>
              <w:autoSpaceDN w:val="0"/>
              <w:adjustRightInd w:val="0"/>
              <w:ind w:left="0"/>
              <w:jc w:val="both"/>
              <w:rPr>
                <w:sz w:val="18"/>
                <w:szCs w:val="18"/>
              </w:rPr>
            </w:pPr>
          </w:p>
        </w:tc>
        <w:tc>
          <w:tcPr>
            <w:tcW w:w="1743" w:type="pct"/>
          </w:tcPr>
          <w:p w14:paraId="483A0626" w14:textId="77777777" w:rsidR="00CB4A4A" w:rsidRPr="009A1AD1" w:rsidRDefault="00CB4A4A" w:rsidP="00B62BA5">
            <w:pPr>
              <w:keepNext/>
              <w:keepLines/>
              <w:tabs>
                <w:tab w:val="left" w:pos="1035"/>
              </w:tabs>
              <w:jc w:val="both"/>
              <w:outlineLvl w:val="3"/>
              <w:rPr>
                <w:sz w:val="18"/>
                <w:szCs w:val="18"/>
              </w:rPr>
            </w:pPr>
            <w:r w:rsidRPr="009A1AD1">
              <w:rPr>
                <w:sz w:val="18"/>
                <w:szCs w:val="18"/>
              </w:rPr>
              <w:t>– средневзвешенная цена по сделкам, раскрываемая организатором торговли ПАО Московская Биржа на дату, ближайшую к дате осуществления оценки из предшествующих ей 30 календарных дней;</w:t>
            </w:r>
          </w:p>
          <w:p w14:paraId="497B7B01" w14:textId="04BCC8BD" w:rsidR="00EA03F8" w:rsidRPr="009A1AD1" w:rsidRDefault="00EA03F8" w:rsidP="00B62BA5">
            <w:pPr>
              <w:tabs>
                <w:tab w:val="left" w:pos="426"/>
              </w:tabs>
              <w:autoSpaceDE w:val="0"/>
              <w:autoSpaceDN w:val="0"/>
              <w:adjustRightInd w:val="0"/>
              <w:jc w:val="both"/>
              <w:rPr>
                <w:sz w:val="18"/>
                <w:szCs w:val="18"/>
                <w:lang w:bidi="ru-RU"/>
              </w:rPr>
            </w:pPr>
            <w:r w:rsidRPr="009A1AD1">
              <w:rPr>
                <w:sz w:val="18"/>
                <w:szCs w:val="18"/>
              </w:rPr>
              <w:t>– котировки брокеров, дилеров или иных участников рынка, чьи котировки публично доступны</w:t>
            </w:r>
            <w:r w:rsidR="00C149D5">
              <w:rPr>
                <w:sz w:val="18"/>
                <w:szCs w:val="18"/>
              </w:rPr>
              <w:t>.</w:t>
            </w:r>
          </w:p>
          <w:p w14:paraId="750AA8DB" w14:textId="66BDAED5" w:rsidR="00FC7730" w:rsidRPr="009A1AD1" w:rsidRDefault="00FC7730" w:rsidP="00B62BA5">
            <w:pPr>
              <w:rPr>
                <w:rFonts w:eastAsia="Microsoft Sans Serif"/>
                <w:sz w:val="18"/>
                <w:szCs w:val="18"/>
                <w:lang w:bidi="ru-RU"/>
              </w:rPr>
            </w:pPr>
          </w:p>
        </w:tc>
        <w:tc>
          <w:tcPr>
            <w:tcW w:w="1711" w:type="pct"/>
            <w:gridSpan w:val="2"/>
          </w:tcPr>
          <w:p w14:paraId="29F684FB" w14:textId="104668DD" w:rsidR="00EA03F8" w:rsidRPr="009A1AD1" w:rsidRDefault="00CB4A4A" w:rsidP="00B62BA5">
            <w:pPr>
              <w:keepNext/>
              <w:keepLines/>
              <w:tabs>
                <w:tab w:val="left" w:pos="1035"/>
              </w:tabs>
              <w:jc w:val="both"/>
              <w:outlineLvl w:val="3"/>
              <w:rPr>
                <w:sz w:val="18"/>
                <w:szCs w:val="18"/>
              </w:rPr>
            </w:pPr>
            <w:r w:rsidRPr="009A1AD1">
              <w:rPr>
                <w:sz w:val="18"/>
                <w:szCs w:val="18"/>
              </w:rPr>
              <w:t>– средневзвешенная цена по сделкам, раскрываемая организатором торговли ПАО Московская Биржа на дату, ближайшую к дате осуществления оценки из предшествующих ей 30 календарных дней</w:t>
            </w:r>
            <w:r w:rsidR="00EA03F8" w:rsidRPr="009A1AD1">
              <w:rPr>
                <w:sz w:val="18"/>
                <w:szCs w:val="18"/>
              </w:rPr>
              <w:t>;</w:t>
            </w:r>
          </w:p>
          <w:p w14:paraId="5CAA5625" w14:textId="0340B09B" w:rsidR="00CB4A4A" w:rsidRPr="009A1AD1" w:rsidRDefault="00EA03F8" w:rsidP="00B62BA5">
            <w:pPr>
              <w:autoSpaceDE w:val="0"/>
              <w:autoSpaceDN w:val="0"/>
              <w:adjustRightInd w:val="0"/>
              <w:jc w:val="both"/>
              <w:rPr>
                <w:sz w:val="18"/>
                <w:szCs w:val="18"/>
              </w:rPr>
            </w:pPr>
            <w:r w:rsidRPr="009A1AD1">
              <w:rPr>
                <w:sz w:val="18"/>
                <w:szCs w:val="18"/>
              </w:rPr>
              <w:t>– котировки брокеров, дилеров или иных участников рынка, чьи котировки публично доступны;</w:t>
            </w:r>
          </w:p>
        </w:tc>
      </w:tr>
      <w:tr w:rsidR="00CB4A4A" w:rsidRPr="009A1AD1" w14:paraId="40AA2ACA" w14:textId="77777777" w:rsidTr="009A1AD1">
        <w:tc>
          <w:tcPr>
            <w:tcW w:w="505" w:type="pct"/>
            <w:vMerge/>
          </w:tcPr>
          <w:p w14:paraId="58E3141F" w14:textId="77777777" w:rsidR="00CB4A4A" w:rsidRPr="009A1AD1" w:rsidRDefault="00CB4A4A" w:rsidP="00B62BA5">
            <w:pPr>
              <w:pStyle w:val="a8"/>
              <w:autoSpaceDE w:val="0"/>
              <w:autoSpaceDN w:val="0"/>
              <w:adjustRightInd w:val="0"/>
              <w:ind w:left="0"/>
              <w:jc w:val="both"/>
              <w:rPr>
                <w:sz w:val="18"/>
                <w:szCs w:val="18"/>
              </w:rPr>
            </w:pPr>
          </w:p>
        </w:tc>
        <w:tc>
          <w:tcPr>
            <w:tcW w:w="1042" w:type="pct"/>
            <w:vMerge/>
          </w:tcPr>
          <w:p w14:paraId="1A87C580" w14:textId="77777777" w:rsidR="00CB4A4A" w:rsidRPr="009A1AD1" w:rsidRDefault="00CB4A4A" w:rsidP="00B62BA5">
            <w:pPr>
              <w:pStyle w:val="a8"/>
              <w:autoSpaceDE w:val="0"/>
              <w:autoSpaceDN w:val="0"/>
              <w:adjustRightInd w:val="0"/>
              <w:ind w:left="0"/>
              <w:jc w:val="both"/>
              <w:rPr>
                <w:sz w:val="18"/>
                <w:szCs w:val="18"/>
              </w:rPr>
            </w:pPr>
          </w:p>
        </w:tc>
        <w:tc>
          <w:tcPr>
            <w:tcW w:w="3454" w:type="pct"/>
            <w:gridSpan w:val="3"/>
          </w:tcPr>
          <w:p w14:paraId="65B089FA" w14:textId="77777777" w:rsidR="00CB4A4A" w:rsidRPr="009A1AD1" w:rsidRDefault="00CB4A4A" w:rsidP="00B62BA5">
            <w:pPr>
              <w:jc w:val="both"/>
              <w:rPr>
                <w:sz w:val="18"/>
                <w:szCs w:val="18"/>
              </w:rPr>
            </w:pPr>
            <w:r w:rsidRPr="009A1AD1">
              <w:rPr>
                <w:sz w:val="18"/>
                <w:szCs w:val="18"/>
              </w:rPr>
              <w:t xml:space="preserve">По ценным бумагам, приобретенным в процессе первичного размещения, в случае невозможности определить справедливую стоимость в порядке, определенном пп. </w:t>
            </w:r>
            <w:r w:rsidR="007132C2" w:rsidRPr="009A1AD1">
              <w:rPr>
                <w:sz w:val="18"/>
                <w:szCs w:val="18"/>
              </w:rPr>
              <w:t>6</w:t>
            </w:r>
            <w:r w:rsidRPr="009A1AD1">
              <w:rPr>
                <w:sz w:val="18"/>
                <w:szCs w:val="18"/>
              </w:rPr>
              <w:t xml:space="preserve">.2.1 – </w:t>
            </w:r>
            <w:r w:rsidR="007132C2" w:rsidRPr="009A1AD1">
              <w:rPr>
                <w:sz w:val="18"/>
                <w:szCs w:val="18"/>
              </w:rPr>
              <w:t>6</w:t>
            </w:r>
            <w:r w:rsidRPr="009A1AD1">
              <w:rPr>
                <w:sz w:val="18"/>
                <w:szCs w:val="18"/>
              </w:rPr>
              <w:t>.2.2 настоящей Методик</w:t>
            </w:r>
            <w:r w:rsidR="00533790" w:rsidRPr="009A1AD1">
              <w:rPr>
                <w:sz w:val="18"/>
                <w:szCs w:val="18"/>
              </w:rPr>
              <w:t>и</w:t>
            </w:r>
            <w:r w:rsidRPr="009A1AD1">
              <w:rPr>
                <w:sz w:val="18"/>
                <w:szCs w:val="18"/>
              </w:rPr>
              <w:t xml:space="preserve">, справедливой стоимостью в течение </w:t>
            </w:r>
            <w:r w:rsidR="00533790" w:rsidRPr="009A1AD1">
              <w:rPr>
                <w:sz w:val="18"/>
                <w:szCs w:val="18"/>
              </w:rPr>
              <w:t>30</w:t>
            </w:r>
            <w:r w:rsidRPr="009A1AD1">
              <w:rPr>
                <w:sz w:val="18"/>
                <w:szCs w:val="18"/>
              </w:rPr>
              <w:t xml:space="preserve"> календарных дней от даты первичного размещения признается цена приобретения.</w:t>
            </w:r>
            <w:r w:rsidR="00533790" w:rsidRPr="009A1AD1">
              <w:rPr>
                <w:sz w:val="18"/>
                <w:szCs w:val="18"/>
              </w:rPr>
              <w:t xml:space="preserve"> По истечении указанного срока для определения справедливой стоимости ценных бумаг, приобретенных в процессе первичного размещения, используются методы определения справедливой стоимости, предусмотренные настоящей Методикой.</w:t>
            </w:r>
          </w:p>
        </w:tc>
      </w:tr>
      <w:tr w:rsidR="00CB4A4A" w:rsidRPr="009A1AD1" w14:paraId="053DD215" w14:textId="77777777" w:rsidTr="009A1AD1">
        <w:trPr>
          <w:trHeight w:val="698"/>
        </w:trPr>
        <w:tc>
          <w:tcPr>
            <w:tcW w:w="505" w:type="pct"/>
            <w:vMerge w:val="restart"/>
          </w:tcPr>
          <w:p w14:paraId="5B386198"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lang w:val="en-US"/>
              </w:rPr>
              <w:t xml:space="preserve">2 </w:t>
            </w:r>
            <w:r w:rsidRPr="009A1AD1">
              <w:rPr>
                <w:sz w:val="18"/>
                <w:szCs w:val="18"/>
              </w:rPr>
              <w:t>уровень</w:t>
            </w:r>
          </w:p>
        </w:tc>
        <w:tc>
          <w:tcPr>
            <w:tcW w:w="1042" w:type="pct"/>
          </w:tcPr>
          <w:p w14:paraId="1D04F8BC"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 xml:space="preserve">Цена ценной бумаги на неактивном рынке (при условии невыполнения </w:t>
            </w:r>
            <w:r w:rsidR="00AB0490" w:rsidRPr="009A1AD1">
              <w:rPr>
                <w:sz w:val="18"/>
                <w:szCs w:val="18"/>
              </w:rPr>
              <w:t xml:space="preserve">определенного </w:t>
            </w:r>
            <w:r w:rsidRPr="009A1AD1">
              <w:rPr>
                <w:sz w:val="18"/>
                <w:szCs w:val="18"/>
              </w:rPr>
              <w:t>критерия активности рынка)</w:t>
            </w:r>
          </w:p>
        </w:tc>
        <w:tc>
          <w:tcPr>
            <w:tcW w:w="1860" w:type="pct"/>
            <w:gridSpan w:val="2"/>
          </w:tcPr>
          <w:p w14:paraId="62C70914" w14:textId="77777777" w:rsidR="00CB4A4A" w:rsidRPr="009A1AD1" w:rsidRDefault="00CB4A4A" w:rsidP="00B62BA5">
            <w:pPr>
              <w:keepNext/>
              <w:keepLines/>
              <w:tabs>
                <w:tab w:val="left" w:pos="1035"/>
              </w:tabs>
              <w:jc w:val="both"/>
              <w:outlineLvl w:val="3"/>
              <w:rPr>
                <w:sz w:val="18"/>
                <w:szCs w:val="18"/>
              </w:rPr>
            </w:pPr>
            <w:r w:rsidRPr="009A1AD1">
              <w:rPr>
                <w:sz w:val="18"/>
                <w:szCs w:val="18"/>
              </w:rPr>
              <w:t>Аналогично исходным данным 1 уровня</w:t>
            </w:r>
          </w:p>
        </w:tc>
        <w:tc>
          <w:tcPr>
            <w:tcW w:w="1594" w:type="pct"/>
          </w:tcPr>
          <w:p w14:paraId="08B43ABB" w14:textId="77777777" w:rsidR="00CB4A4A" w:rsidRPr="009A1AD1" w:rsidRDefault="00CB4A4A" w:rsidP="00B62BA5">
            <w:pPr>
              <w:keepNext/>
              <w:keepLines/>
              <w:tabs>
                <w:tab w:val="left" w:pos="1035"/>
              </w:tabs>
              <w:jc w:val="both"/>
              <w:outlineLvl w:val="3"/>
              <w:rPr>
                <w:sz w:val="18"/>
                <w:szCs w:val="18"/>
              </w:rPr>
            </w:pPr>
            <w:r w:rsidRPr="009A1AD1">
              <w:rPr>
                <w:sz w:val="18"/>
                <w:szCs w:val="18"/>
              </w:rPr>
              <w:t>Аналогично исходным данным 1 уровня</w:t>
            </w:r>
          </w:p>
        </w:tc>
      </w:tr>
      <w:tr w:rsidR="00CB4A4A" w:rsidRPr="009A1AD1" w14:paraId="2EDDA3E3" w14:textId="77777777" w:rsidTr="009A1AD1">
        <w:tc>
          <w:tcPr>
            <w:tcW w:w="505" w:type="pct"/>
            <w:vMerge/>
          </w:tcPr>
          <w:p w14:paraId="2FB1214F" w14:textId="77777777" w:rsidR="00CB4A4A" w:rsidRPr="009A1AD1" w:rsidRDefault="00CB4A4A" w:rsidP="00B62BA5">
            <w:pPr>
              <w:pStyle w:val="a8"/>
              <w:autoSpaceDE w:val="0"/>
              <w:autoSpaceDN w:val="0"/>
              <w:adjustRightInd w:val="0"/>
              <w:ind w:left="0"/>
              <w:jc w:val="both"/>
              <w:rPr>
                <w:sz w:val="18"/>
                <w:szCs w:val="18"/>
              </w:rPr>
            </w:pPr>
          </w:p>
        </w:tc>
        <w:tc>
          <w:tcPr>
            <w:tcW w:w="1042" w:type="pct"/>
          </w:tcPr>
          <w:p w14:paraId="39579796" w14:textId="5E5449B3" w:rsidR="00CB4A4A" w:rsidRPr="009A1AD1" w:rsidRDefault="00CB4A4A" w:rsidP="00B62BA5">
            <w:pPr>
              <w:pStyle w:val="a8"/>
              <w:autoSpaceDE w:val="0"/>
              <w:autoSpaceDN w:val="0"/>
              <w:adjustRightInd w:val="0"/>
              <w:ind w:left="0"/>
              <w:jc w:val="both"/>
              <w:rPr>
                <w:sz w:val="18"/>
                <w:szCs w:val="18"/>
              </w:rPr>
            </w:pPr>
            <w:r w:rsidRPr="009A1AD1">
              <w:rPr>
                <w:sz w:val="18"/>
                <w:szCs w:val="18"/>
              </w:rPr>
              <w:t>Цена аналогичной ценной бумаги</w:t>
            </w:r>
            <w:r w:rsidR="00272256" w:rsidRPr="009A1AD1">
              <w:rPr>
                <w:sz w:val="18"/>
                <w:szCs w:val="18"/>
              </w:rPr>
              <w:t xml:space="preserve"> на активном</w:t>
            </w:r>
            <w:r w:rsidRPr="009A1AD1">
              <w:rPr>
                <w:sz w:val="18"/>
                <w:szCs w:val="18"/>
              </w:rPr>
              <w:t xml:space="preserve"> рынке, определенная рыночным методом</w:t>
            </w:r>
          </w:p>
        </w:tc>
        <w:tc>
          <w:tcPr>
            <w:tcW w:w="1860" w:type="pct"/>
            <w:gridSpan w:val="2"/>
          </w:tcPr>
          <w:p w14:paraId="705F1EB2"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Аналогично исходным данным 1 уровня</w:t>
            </w:r>
          </w:p>
        </w:tc>
        <w:tc>
          <w:tcPr>
            <w:tcW w:w="1594" w:type="pct"/>
          </w:tcPr>
          <w:p w14:paraId="0C297E44" w14:textId="77777777" w:rsidR="00CB4A4A" w:rsidRPr="009A1AD1" w:rsidRDefault="00CB4A4A" w:rsidP="00B62BA5">
            <w:pPr>
              <w:autoSpaceDE w:val="0"/>
              <w:autoSpaceDN w:val="0"/>
              <w:adjustRightInd w:val="0"/>
              <w:jc w:val="both"/>
              <w:rPr>
                <w:sz w:val="18"/>
                <w:szCs w:val="18"/>
              </w:rPr>
            </w:pPr>
            <w:r w:rsidRPr="009A1AD1">
              <w:rPr>
                <w:sz w:val="18"/>
                <w:szCs w:val="18"/>
              </w:rPr>
              <w:t>Аналогично исходным данным 1 уровня</w:t>
            </w:r>
          </w:p>
        </w:tc>
      </w:tr>
      <w:tr w:rsidR="00CB4A4A" w:rsidRPr="009A1AD1" w14:paraId="21425574" w14:textId="77777777" w:rsidTr="009A1AD1">
        <w:tc>
          <w:tcPr>
            <w:tcW w:w="505" w:type="pct"/>
            <w:vMerge w:val="restart"/>
          </w:tcPr>
          <w:p w14:paraId="07E50340"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3 уровень</w:t>
            </w:r>
          </w:p>
        </w:tc>
        <w:tc>
          <w:tcPr>
            <w:tcW w:w="1042" w:type="pct"/>
          </w:tcPr>
          <w:p w14:paraId="77BA622C"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Доходный метод</w:t>
            </w:r>
          </w:p>
        </w:tc>
        <w:tc>
          <w:tcPr>
            <w:tcW w:w="1860" w:type="pct"/>
            <w:gridSpan w:val="2"/>
            <w:vMerge w:val="restart"/>
          </w:tcPr>
          <w:p w14:paraId="44552D77" w14:textId="77777777" w:rsidR="00CB4A4A" w:rsidRPr="009A1AD1" w:rsidRDefault="00272256" w:rsidP="00B62BA5">
            <w:pPr>
              <w:pStyle w:val="a8"/>
              <w:autoSpaceDE w:val="0"/>
              <w:autoSpaceDN w:val="0"/>
              <w:adjustRightInd w:val="0"/>
              <w:ind w:left="0"/>
              <w:jc w:val="both"/>
              <w:rPr>
                <w:sz w:val="18"/>
                <w:szCs w:val="18"/>
              </w:rPr>
            </w:pPr>
            <w:r w:rsidRPr="009A1AD1">
              <w:rPr>
                <w:sz w:val="18"/>
                <w:szCs w:val="18"/>
              </w:rPr>
              <w:t>Нена</w:t>
            </w:r>
            <w:r w:rsidR="00CB4A4A" w:rsidRPr="009A1AD1">
              <w:rPr>
                <w:sz w:val="18"/>
                <w:szCs w:val="18"/>
              </w:rPr>
              <w:t>блюдаемые исходные данные</w:t>
            </w:r>
          </w:p>
        </w:tc>
        <w:tc>
          <w:tcPr>
            <w:tcW w:w="1594" w:type="pct"/>
            <w:vMerge w:val="restart"/>
          </w:tcPr>
          <w:p w14:paraId="12BE1543"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Ненаблюдаемые исходные данные</w:t>
            </w:r>
          </w:p>
        </w:tc>
      </w:tr>
      <w:tr w:rsidR="00CB4A4A" w:rsidRPr="009A1AD1" w14:paraId="0E916D10" w14:textId="77777777" w:rsidTr="009A1AD1">
        <w:tc>
          <w:tcPr>
            <w:tcW w:w="505" w:type="pct"/>
            <w:vMerge/>
          </w:tcPr>
          <w:p w14:paraId="08D4F9C4" w14:textId="77777777" w:rsidR="00CB4A4A" w:rsidRPr="009A1AD1" w:rsidRDefault="00CB4A4A" w:rsidP="00B62BA5">
            <w:pPr>
              <w:pStyle w:val="a8"/>
              <w:autoSpaceDE w:val="0"/>
              <w:autoSpaceDN w:val="0"/>
              <w:adjustRightInd w:val="0"/>
              <w:ind w:left="0"/>
              <w:jc w:val="both"/>
              <w:rPr>
                <w:sz w:val="18"/>
                <w:szCs w:val="18"/>
              </w:rPr>
            </w:pPr>
          </w:p>
        </w:tc>
        <w:tc>
          <w:tcPr>
            <w:tcW w:w="1042" w:type="pct"/>
          </w:tcPr>
          <w:p w14:paraId="6D7E97A3" w14:textId="77777777" w:rsidR="00CB4A4A" w:rsidRPr="009A1AD1" w:rsidRDefault="00CB4A4A" w:rsidP="00B62BA5">
            <w:pPr>
              <w:pStyle w:val="a8"/>
              <w:autoSpaceDE w:val="0"/>
              <w:autoSpaceDN w:val="0"/>
              <w:adjustRightInd w:val="0"/>
              <w:ind w:left="0"/>
              <w:jc w:val="both"/>
              <w:rPr>
                <w:sz w:val="18"/>
                <w:szCs w:val="18"/>
              </w:rPr>
            </w:pPr>
            <w:r w:rsidRPr="009A1AD1">
              <w:rPr>
                <w:sz w:val="18"/>
                <w:szCs w:val="18"/>
              </w:rPr>
              <w:t>Затратный метод</w:t>
            </w:r>
          </w:p>
        </w:tc>
        <w:tc>
          <w:tcPr>
            <w:tcW w:w="1860" w:type="pct"/>
            <w:gridSpan w:val="2"/>
            <w:vMerge/>
          </w:tcPr>
          <w:p w14:paraId="2C8C3456" w14:textId="77777777" w:rsidR="00CB4A4A" w:rsidRPr="009A1AD1" w:rsidRDefault="00CB4A4A" w:rsidP="00B62BA5">
            <w:pPr>
              <w:pStyle w:val="a8"/>
              <w:autoSpaceDE w:val="0"/>
              <w:autoSpaceDN w:val="0"/>
              <w:adjustRightInd w:val="0"/>
              <w:ind w:left="0"/>
              <w:jc w:val="both"/>
              <w:rPr>
                <w:sz w:val="18"/>
                <w:szCs w:val="18"/>
              </w:rPr>
            </w:pPr>
          </w:p>
        </w:tc>
        <w:tc>
          <w:tcPr>
            <w:tcW w:w="1594" w:type="pct"/>
            <w:vMerge/>
          </w:tcPr>
          <w:p w14:paraId="19C0A548" w14:textId="77777777" w:rsidR="00CB4A4A" w:rsidRPr="009A1AD1" w:rsidRDefault="00CB4A4A" w:rsidP="00B62BA5">
            <w:pPr>
              <w:pStyle w:val="a8"/>
              <w:autoSpaceDE w:val="0"/>
              <w:autoSpaceDN w:val="0"/>
              <w:adjustRightInd w:val="0"/>
              <w:ind w:left="0"/>
              <w:jc w:val="both"/>
              <w:rPr>
                <w:sz w:val="18"/>
                <w:szCs w:val="18"/>
              </w:rPr>
            </w:pPr>
          </w:p>
        </w:tc>
      </w:tr>
    </w:tbl>
    <w:p w14:paraId="7C11B13C" w14:textId="77777777" w:rsidR="00CB4A4A" w:rsidRPr="006C5176" w:rsidRDefault="00CB4A4A" w:rsidP="00B62BA5">
      <w:pPr>
        <w:autoSpaceDE w:val="0"/>
        <w:autoSpaceDN w:val="0"/>
        <w:adjustRightInd w:val="0"/>
        <w:jc w:val="both"/>
        <w:rPr>
          <w:rFonts w:ascii="Times New Roman" w:hAnsi="Times New Roman" w:cs="Times New Roman"/>
          <w:sz w:val="20"/>
          <w:szCs w:val="20"/>
        </w:rPr>
      </w:pPr>
    </w:p>
    <w:p w14:paraId="4DC9545D" w14:textId="418D42BB" w:rsidR="0040768F" w:rsidRDefault="0040768F" w:rsidP="00B62BA5">
      <w:pPr>
        <w:rPr>
          <w:rFonts w:ascii="Times New Roman" w:hAnsi="Times New Roman" w:cs="Times New Roman"/>
          <w:sz w:val="20"/>
          <w:szCs w:val="20"/>
        </w:rPr>
      </w:pPr>
      <w:r>
        <w:rPr>
          <w:rFonts w:ascii="Times New Roman" w:hAnsi="Times New Roman" w:cs="Times New Roman"/>
          <w:sz w:val="20"/>
          <w:szCs w:val="20"/>
        </w:rPr>
        <w:br w:type="page"/>
      </w:r>
    </w:p>
    <w:p w14:paraId="7550A429" w14:textId="77777777" w:rsidR="00CB4A4A" w:rsidRPr="000D466B" w:rsidRDefault="00CB4A4A" w:rsidP="00B62BA5">
      <w:pPr>
        <w:autoSpaceDE w:val="0"/>
        <w:autoSpaceDN w:val="0"/>
        <w:adjustRightInd w:val="0"/>
        <w:jc w:val="right"/>
        <w:rPr>
          <w:rFonts w:ascii="Times New Roman" w:hAnsi="Times New Roman" w:cs="Times New Roman"/>
        </w:rPr>
      </w:pPr>
      <w:r w:rsidRPr="000D466B">
        <w:rPr>
          <w:rFonts w:ascii="Times New Roman" w:hAnsi="Times New Roman" w:cs="Times New Roman"/>
        </w:rPr>
        <w:lastRenderedPageBreak/>
        <w:t xml:space="preserve">Приложение </w:t>
      </w:r>
      <w:r w:rsidR="00ED0CD3" w:rsidRPr="000D466B">
        <w:rPr>
          <w:rFonts w:ascii="Times New Roman" w:hAnsi="Times New Roman" w:cs="Times New Roman"/>
        </w:rPr>
        <w:t>№</w:t>
      </w:r>
      <w:r w:rsidRPr="000D466B">
        <w:rPr>
          <w:rFonts w:ascii="Times New Roman" w:hAnsi="Times New Roman" w:cs="Times New Roman"/>
        </w:rPr>
        <w:t>2</w:t>
      </w:r>
    </w:p>
    <w:p w14:paraId="31B6BD2D" w14:textId="77777777" w:rsidR="00CB4A4A" w:rsidRPr="000D466B" w:rsidRDefault="00CB4A4A" w:rsidP="00B62BA5">
      <w:pPr>
        <w:autoSpaceDE w:val="0"/>
        <w:autoSpaceDN w:val="0"/>
        <w:adjustRightInd w:val="0"/>
        <w:jc w:val="right"/>
        <w:rPr>
          <w:rFonts w:ascii="Times New Roman" w:hAnsi="Times New Roman" w:cs="Times New Roman"/>
        </w:rPr>
      </w:pPr>
    </w:p>
    <w:p w14:paraId="4A8440BD" w14:textId="77777777" w:rsidR="00CB4A4A" w:rsidRPr="000D466B" w:rsidRDefault="00CB4A4A" w:rsidP="00B62BA5">
      <w:pPr>
        <w:autoSpaceDE w:val="0"/>
        <w:autoSpaceDN w:val="0"/>
        <w:adjustRightInd w:val="0"/>
        <w:jc w:val="center"/>
        <w:rPr>
          <w:rFonts w:ascii="Times New Roman" w:hAnsi="Times New Roman" w:cs="Times New Roman"/>
          <w:b/>
        </w:rPr>
      </w:pPr>
      <w:r w:rsidRPr="000D466B">
        <w:rPr>
          <w:rFonts w:ascii="Times New Roman" w:hAnsi="Times New Roman" w:cs="Times New Roman"/>
          <w:b/>
        </w:rPr>
        <w:t>Порядок использования методов определения справедливой стоимости ценных бумаг, в том числе с учетом корректировок</w:t>
      </w:r>
    </w:p>
    <w:p w14:paraId="4EB460E2" w14:textId="77777777" w:rsidR="00CB4A4A" w:rsidRPr="000D466B" w:rsidRDefault="00CB4A4A" w:rsidP="00B62BA5">
      <w:pPr>
        <w:autoSpaceDE w:val="0"/>
        <w:autoSpaceDN w:val="0"/>
        <w:adjustRightInd w:val="0"/>
        <w:jc w:val="both"/>
        <w:rPr>
          <w:rFonts w:ascii="Times New Roman" w:hAnsi="Times New Roman" w:cs="Times New Roman"/>
        </w:rPr>
      </w:pPr>
    </w:p>
    <w:tbl>
      <w:tblPr>
        <w:tblStyle w:val="ac"/>
        <w:tblW w:w="4960" w:type="pct"/>
        <w:tblLayout w:type="fixed"/>
        <w:tblLook w:val="04A0" w:firstRow="1" w:lastRow="0" w:firstColumn="1" w:lastColumn="0" w:noHBand="0" w:noVBand="1"/>
      </w:tblPr>
      <w:tblGrid>
        <w:gridCol w:w="1272"/>
        <w:gridCol w:w="1359"/>
        <w:gridCol w:w="1360"/>
        <w:gridCol w:w="2100"/>
        <w:gridCol w:w="1358"/>
        <w:gridCol w:w="1362"/>
        <w:gridCol w:w="1305"/>
      </w:tblGrid>
      <w:tr w:rsidR="00CB4A4A" w:rsidRPr="00DF05C4" w14:paraId="321C6413" w14:textId="77777777" w:rsidTr="00A95C42">
        <w:tc>
          <w:tcPr>
            <w:tcW w:w="629" w:type="pct"/>
          </w:tcPr>
          <w:p w14:paraId="78F5B037"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Исходные данные (до корректировки)</w:t>
            </w:r>
          </w:p>
        </w:tc>
        <w:tc>
          <w:tcPr>
            <w:tcW w:w="672" w:type="pct"/>
          </w:tcPr>
          <w:p w14:paraId="04762053"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Метод определения справедливой стоимости (до корректировки)</w:t>
            </w:r>
          </w:p>
        </w:tc>
        <w:tc>
          <w:tcPr>
            <w:tcW w:w="672" w:type="pct"/>
          </w:tcPr>
          <w:p w14:paraId="42C2CAD2"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Подразделение, ответственное за определение справедливой стоимости (до корректировки)</w:t>
            </w:r>
          </w:p>
        </w:tc>
        <w:tc>
          <w:tcPr>
            <w:tcW w:w="1038" w:type="pct"/>
          </w:tcPr>
          <w:p w14:paraId="45EBBCBF"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Признаки, свидетельствующие о необходимости корректировки исходных данных</w:t>
            </w:r>
          </w:p>
        </w:tc>
        <w:tc>
          <w:tcPr>
            <w:tcW w:w="671" w:type="pct"/>
          </w:tcPr>
          <w:p w14:paraId="7FB4B8C9"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Метод определения справедливой стоимости (с учетом корректировки)</w:t>
            </w:r>
          </w:p>
        </w:tc>
        <w:tc>
          <w:tcPr>
            <w:tcW w:w="673" w:type="pct"/>
          </w:tcPr>
          <w:p w14:paraId="5321E936"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Подразделения, ответственные за определение справедливой стоимости (с учетом корректировки)</w:t>
            </w:r>
          </w:p>
        </w:tc>
        <w:tc>
          <w:tcPr>
            <w:tcW w:w="645" w:type="pct"/>
          </w:tcPr>
          <w:p w14:paraId="56FC8F90"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Исходные данные (после корректировки)</w:t>
            </w:r>
          </w:p>
        </w:tc>
      </w:tr>
      <w:tr w:rsidR="00CB4A4A" w:rsidRPr="00DF05C4" w14:paraId="58746B12" w14:textId="77777777" w:rsidTr="00A95C42">
        <w:tc>
          <w:tcPr>
            <w:tcW w:w="629" w:type="pct"/>
          </w:tcPr>
          <w:p w14:paraId="063801CD"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1 уровень</w:t>
            </w:r>
          </w:p>
        </w:tc>
        <w:tc>
          <w:tcPr>
            <w:tcW w:w="672" w:type="pct"/>
          </w:tcPr>
          <w:p w14:paraId="2DA9C13B"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Цена ценной бумаги на активном рынке</w:t>
            </w:r>
          </w:p>
        </w:tc>
        <w:tc>
          <w:tcPr>
            <w:tcW w:w="672" w:type="pct"/>
          </w:tcPr>
          <w:p w14:paraId="57771FED" w14:textId="79081E2A" w:rsidR="00CB4A4A" w:rsidRPr="00DF05C4" w:rsidRDefault="00CB4A4A" w:rsidP="00B62BA5">
            <w:pPr>
              <w:pStyle w:val="a8"/>
              <w:autoSpaceDE w:val="0"/>
              <w:autoSpaceDN w:val="0"/>
              <w:adjustRightInd w:val="0"/>
              <w:ind w:left="0"/>
              <w:jc w:val="both"/>
              <w:rPr>
                <w:sz w:val="17"/>
                <w:szCs w:val="17"/>
              </w:rPr>
            </w:pPr>
            <w:r w:rsidRPr="00DF05C4">
              <w:rPr>
                <w:sz w:val="17"/>
                <w:szCs w:val="17"/>
              </w:rPr>
              <w:t>Управление ценных бумаг</w:t>
            </w:r>
          </w:p>
        </w:tc>
        <w:tc>
          <w:tcPr>
            <w:tcW w:w="1038" w:type="pct"/>
          </w:tcPr>
          <w:p w14:paraId="1010BB77" w14:textId="56A3551E" w:rsidR="00CB4A4A" w:rsidRPr="00DF05C4" w:rsidRDefault="00CB4A4A" w:rsidP="00B62BA5">
            <w:pPr>
              <w:autoSpaceDE w:val="0"/>
              <w:autoSpaceDN w:val="0"/>
              <w:adjustRightInd w:val="0"/>
              <w:jc w:val="both"/>
              <w:rPr>
                <w:sz w:val="17"/>
                <w:szCs w:val="17"/>
              </w:rPr>
            </w:pPr>
            <w:r w:rsidRPr="00DF05C4">
              <w:rPr>
                <w:sz w:val="17"/>
                <w:szCs w:val="17"/>
              </w:rPr>
              <w:t>Учет признаков обесценения ценной бумаги (произошли существенные события, в результате которых рыночная цена (котировка) активного рынка перестала отражать справедливую стоимость на дату оценки вследствие следующих обстоятельств:</w:t>
            </w:r>
          </w:p>
          <w:p w14:paraId="6CF47B13" w14:textId="77777777" w:rsidR="00CB4A4A" w:rsidRPr="00DF05C4" w:rsidRDefault="00CB4A4A" w:rsidP="00B62BA5">
            <w:pPr>
              <w:autoSpaceDE w:val="0"/>
              <w:autoSpaceDN w:val="0"/>
              <w:adjustRightInd w:val="0"/>
              <w:jc w:val="both"/>
              <w:rPr>
                <w:sz w:val="17"/>
                <w:szCs w:val="17"/>
              </w:rPr>
            </w:pPr>
            <w:r w:rsidRPr="00DF05C4">
              <w:rPr>
                <w:sz w:val="17"/>
                <w:szCs w:val="17"/>
              </w:rPr>
              <w:t>– существенное ухудшение финансового состояния эмитента;</w:t>
            </w:r>
          </w:p>
          <w:p w14:paraId="7A22869A" w14:textId="77777777" w:rsidR="00CB4A4A" w:rsidRPr="00DF05C4" w:rsidRDefault="00CB4A4A" w:rsidP="00B62BA5">
            <w:pPr>
              <w:autoSpaceDE w:val="0"/>
              <w:autoSpaceDN w:val="0"/>
              <w:adjustRightInd w:val="0"/>
              <w:jc w:val="both"/>
              <w:rPr>
                <w:sz w:val="17"/>
                <w:szCs w:val="17"/>
              </w:rPr>
            </w:pPr>
            <w:r w:rsidRPr="00DF05C4">
              <w:rPr>
                <w:sz w:val="17"/>
                <w:szCs w:val="17"/>
              </w:rPr>
              <w:t>– начало процедуры банкротства эмитента;</w:t>
            </w:r>
          </w:p>
          <w:p w14:paraId="1992C825" w14:textId="7185DA27" w:rsidR="00CB4A4A" w:rsidRPr="00DF05C4" w:rsidRDefault="00CB4A4A" w:rsidP="00B62BA5">
            <w:pPr>
              <w:autoSpaceDE w:val="0"/>
              <w:autoSpaceDN w:val="0"/>
              <w:adjustRightInd w:val="0"/>
              <w:jc w:val="both"/>
              <w:rPr>
                <w:sz w:val="17"/>
                <w:szCs w:val="17"/>
              </w:rPr>
            </w:pPr>
            <w:r w:rsidRPr="00DF05C4">
              <w:rPr>
                <w:sz w:val="17"/>
                <w:szCs w:val="17"/>
              </w:rPr>
              <w:t>– выявление фактов неисполнения эмитентом своих обязательств по какой-либо ценной бумаге</w:t>
            </w:r>
            <w:r w:rsidR="000B5339" w:rsidRPr="00DF05C4">
              <w:rPr>
                <w:sz w:val="17"/>
                <w:szCs w:val="17"/>
              </w:rPr>
              <w:t>, в том числе выставление предложений по реструктуризации долговых обязательств эмитента</w:t>
            </w:r>
            <w:r w:rsidRPr="00DF05C4">
              <w:rPr>
                <w:sz w:val="17"/>
                <w:szCs w:val="17"/>
              </w:rPr>
              <w:t>;</w:t>
            </w:r>
            <w:r w:rsidRPr="00DF05C4">
              <w:rPr>
                <w:sz w:val="17"/>
                <w:szCs w:val="17"/>
              </w:rPr>
              <w:br/>
              <w:t>– прочие существенные события в деятельности эмитента.</w:t>
            </w:r>
          </w:p>
          <w:p w14:paraId="2F14F335" w14:textId="77777777" w:rsidR="00CB4A4A" w:rsidRPr="00DF05C4" w:rsidRDefault="00CB4A4A" w:rsidP="00B62BA5">
            <w:pPr>
              <w:autoSpaceDE w:val="0"/>
              <w:autoSpaceDN w:val="0"/>
              <w:adjustRightInd w:val="0"/>
              <w:jc w:val="both"/>
              <w:rPr>
                <w:sz w:val="17"/>
                <w:szCs w:val="17"/>
              </w:rPr>
            </w:pPr>
            <w:r w:rsidRPr="00DF05C4">
              <w:rPr>
                <w:sz w:val="17"/>
                <w:szCs w:val="17"/>
              </w:rPr>
              <w:t>Учет признаков обесценения ценной бумаги:</w:t>
            </w:r>
          </w:p>
          <w:p w14:paraId="51C301D5" w14:textId="370F0799" w:rsidR="00CB4A4A" w:rsidRPr="00DF05C4" w:rsidRDefault="00CB4A4A" w:rsidP="00B62BA5">
            <w:pPr>
              <w:autoSpaceDE w:val="0"/>
              <w:autoSpaceDN w:val="0"/>
              <w:adjustRightInd w:val="0"/>
              <w:jc w:val="both"/>
              <w:rPr>
                <w:sz w:val="17"/>
                <w:szCs w:val="17"/>
              </w:rPr>
            </w:pPr>
            <w:r w:rsidRPr="00DF05C4">
              <w:rPr>
                <w:sz w:val="17"/>
                <w:szCs w:val="17"/>
              </w:rPr>
              <w:t xml:space="preserve">– снижение цены долговой ценной бумаги на активном рынке более </w:t>
            </w:r>
            <w:r w:rsidR="00AB0490" w:rsidRPr="00DF05C4">
              <w:rPr>
                <w:sz w:val="17"/>
                <w:szCs w:val="17"/>
              </w:rPr>
              <w:t>25</w:t>
            </w:r>
            <w:r w:rsidRPr="00DF05C4">
              <w:rPr>
                <w:sz w:val="17"/>
                <w:szCs w:val="17"/>
              </w:rPr>
              <w:t>% в течение 3 торговых дней;</w:t>
            </w:r>
          </w:p>
          <w:p w14:paraId="0A91B772" w14:textId="250FFDBC" w:rsidR="00CB4A4A" w:rsidRPr="00DF05C4" w:rsidRDefault="00CB4A4A" w:rsidP="00B62BA5">
            <w:pPr>
              <w:autoSpaceDE w:val="0"/>
              <w:autoSpaceDN w:val="0"/>
              <w:adjustRightInd w:val="0"/>
              <w:jc w:val="both"/>
              <w:rPr>
                <w:sz w:val="17"/>
                <w:szCs w:val="17"/>
              </w:rPr>
            </w:pPr>
            <w:r w:rsidRPr="00DF05C4">
              <w:rPr>
                <w:sz w:val="17"/>
                <w:szCs w:val="17"/>
              </w:rPr>
              <w:t xml:space="preserve">– снижение цены долевой ценной бумаги на активном рынке более </w:t>
            </w:r>
            <w:r w:rsidR="00AB0490" w:rsidRPr="00DF05C4">
              <w:rPr>
                <w:sz w:val="17"/>
                <w:szCs w:val="17"/>
              </w:rPr>
              <w:t>50</w:t>
            </w:r>
            <w:r w:rsidRPr="00DF05C4">
              <w:rPr>
                <w:sz w:val="17"/>
                <w:szCs w:val="17"/>
              </w:rPr>
              <w:t>% в течение 3 торговых дней.</w:t>
            </w:r>
          </w:p>
        </w:tc>
        <w:tc>
          <w:tcPr>
            <w:tcW w:w="671" w:type="pct"/>
          </w:tcPr>
          <w:p w14:paraId="13375A12"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Формирование резервов на возможные потери</w:t>
            </w:r>
          </w:p>
        </w:tc>
        <w:tc>
          <w:tcPr>
            <w:tcW w:w="673" w:type="pct"/>
          </w:tcPr>
          <w:p w14:paraId="4D872D38" w14:textId="77777777" w:rsidR="00CB4A4A" w:rsidRPr="00DF05C4" w:rsidRDefault="00CB4A4A" w:rsidP="00B62BA5">
            <w:pPr>
              <w:pStyle w:val="a8"/>
              <w:autoSpaceDE w:val="0"/>
              <w:autoSpaceDN w:val="0"/>
              <w:adjustRightInd w:val="0"/>
              <w:ind w:left="0"/>
              <w:jc w:val="both"/>
              <w:rPr>
                <w:sz w:val="17"/>
                <w:szCs w:val="17"/>
              </w:rPr>
            </w:pPr>
            <w:r w:rsidRPr="00DF05C4">
              <w:rPr>
                <w:sz w:val="17"/>
                <w:szCs w:val="17"/>
              </w:rPr>
              <w:t xml:space="preserve">Управление ценных бумаг совместно с Управлением контроля рисков </w:t>
            </w:r>
          </w:p>
        </w:tc>
        <w:tc>
          <w:tcPr>
            <w:tcW w:w="645" w:type="pct"/>
          </w:tcPr>
          <w:p w14:paraId="55DE9E86" w14:textId="77777777" w:rsidR="00CB4A4A" w:rsidRPr="00DF05C4" w:rsidRDefault="00AA2326" w:rsidP="00B62BA5">
            <w:pPr>
              <w:pStyle w:val="a8"/>
              <w:autoSpaceDE w:val="0"/>
              <w:autoSpaceDN w:val="0"/>
              <w:adjustRightInd w:val="0"/>
              <w:ind w:left="0"/>
              <w:jc w:val="both"/>
              <w:rPr>
                <w:sz w:val="17"/>
                <w:szCs w:val="17"/>
              </w:rPr>
            </w:pPr>
            <w:r w:rsidRPr="00DF05C4">
              <w:rPr>
                <w:sz w:val="17"/>
                <w:szCs w:val="17"/>
              </w:rPr>
              <w:t>1 уровень</w:t>
            </w:r>
          </w:p>
        </w:tc>
      </w:tr>
      <w:tr w:rsidR="00603104" w:rsidRPr="00DF05C4" w14:paraId="65009B63" w14:textId="77777777" w:rsidTr="00A95C42">
        <w:trPr>
          <w:trHeight w:val="890"/>
        </w:trPr>
        <w:tc>
          <w:tcPr>
            <w:tcW w:w="629" w:type="pct"/>
            <w:vMerge w:val="restart"/>
          </w:tcPr>
          <w:p w14:paraId="053C7D11" w14:textId="77777777" w:rsidR="00603104" w:rsidRPr="00DF05C4" w:rsidRDefault="00B03123" w:rsidP="00B62BA5">
            <w:pPr>
              <w:pStyle w:val="a8"/>
              <w:autoSpaceDE w:val="0"/>
              <w:autoSpaceDN w:val="0"/>
              <w:adjustRightInd w:val="0"/>
              <w:ind w:left="0"/>
              <w:jc w:val="both"/>
              <w:rPr>
                <w:sz w:val="17"/>
                <w:szCs w:val="17"/>
              </w:rPr>
            </w:pPr>
            <w:r w:rsidRPr="00DF05C4">
              <w:rPr>
                <w:sz w:val="17"/>
                <w:szCs w:val="17"/>
              </w:rPr>
              <w:t>2 уровень</w:t>
            </w:r>
          </w:p>
        </w:tc>
        <w:tc>
          <w:tcPr>
            <w:tcW w:w="672" w:type="pct"/>
            <w:vMerge w:val="restart"/>
          </w:tcPr>
          <w:p w14:paraId="7C969B63"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xml:space="preserve">Цена ценной бумаги на неактивном рынке (при условии невыполнения </w:t>
            </w:r>
            <w:r w:rsidR="00272256" w:rsidRPr="00DF05C4">
              <w:rPr>
                <w:sz w:val="17"/>
                <w:szCs w:val="17"/>
              </w:rPr>
              <w:t xml:space="preserve">определенного </w:t>
            </w:r>
            <w:r w:rsidRPr="00DF05C4">
              <w:rPr>
                <w:sz w:val="17"/>
                <w:szCs w:val="17"/>
              </w:rPr>
              <w:t>критерия активности рынка)</w:t>
            </w:r>
          </w:p>
        </w:tc>
        <w:tc>
          <w:tcPr>
            <w:tcW w:w="672" w:type="pct"/>
            <w:vMerge w:val="restart"/>
          </w:tcPr>
          <w:p w14:paraId="3B8C0C6C" w14:textId="326434AC" w:rsidR="00603104" w:rsidRPr="00DF05C4" w:rsidRDefault="00603104" w:rsidP="00B62BA5">
            <w:pPr>
              <w:pStyle w:val="a8"/>
              <w:autoSpaceDE w:val="0"/>
              <w:autoSpaceDN w:val="0"/>
              <w:adjustRightInd w:val="0"/>
              <w:ind w:left="0"/>
              <w:jc w:val="both"/>
              <w:rPr>
                <w:sz w:val="17"/>
                <w:szCs w:val="17"/>
              </w:rPr>
            </w:pPr>
            <w:r w:rsidRPr="00DF05C4">
              <w:rPr>
                <w:sz w:val="17"/>
                <w:szCs w:val="17"/>
              </w:rPr>
              <w:t>Управление ценных бумаг</w:t>
            </w:r>
          </w:p>
        </w:tc>
        <w:tc>
          <w:tcPr>
            <w:tcW w:w="1038" w:type="pct"/>
          </w:tcPr>
          <w:p w14:paraId="06C56AD9"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Корректировка на низкую активность на биржевом и внебиржевом рынке вследствие:</w:t>
            </w:r>
          </w:p>
        </w:tc>
        <w:tc>
          <w:tcPr>
            <w:tcW w:w="671" w:type="pct"/>
          </w:tcPr>
          <w:p w14:paraId="5EA0B19D"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Коэффициент от цены ценной бумаги на неактивном рынке:</w:t>
            </w:r>
          </w:p>
          <w:p w14:paraId="55CAC95F" w14:textId="77777777" w:rsidR="00603104" w:rsidRPr="00DF05C4" w:rsidRDefault="00603104" w:rsidP="00B62BA5">
            <w:pPr>
              <w:pStyle w:val="a8"/>
              <w:autoSpaceDE w:val="0"/>
              <w:autoSpaceDN w:val="0"/>
              <w:adjustRightInd w:val="0"/>
              <w:ind w:left="0"/>
              <w:jc w:val="both"/>
              <w:rPr>
                <w:sz w:val="17"/>
                <w:szCs w:val="17"/>
              </w:rPr>
            </w:pPr>
          </w:p>
        </w:tc>
        <w:tc>
          <w:tcPr>
            <w:tcW w:w="673" w:type="pct"/>
            <w:vMerge w:val="restart"/>
          </w:tcPr>
          <w:p w14:paraId="5F9C2C95"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xml:space="preserve">Управление ценных бумаг совместно с Управлением контроля рисков </w:t>
            </w:r>
          </w:p>
        </w:tc>
        <w:tc>
          <w:tcPr>
            <w:tcW w:w="645" w:type="pct"/>
            <w:vMerge w:val="restart"/>
          </w:tcPr>
          <w:p w14:paraId="05673FA0"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2 уровень</w:t>
            </w:r>
          </w:p>
        </w:tc>
      </w:tr>
      <w:tr w:rsidR="00603104" w:rsidRPr="00DF05C4" w14:paraId="4BA3E499" w14:textId="77777777" w:rsidTr="00A95C42">
        <w:trPr>
          <w:trHeight w:val="684"/>
        </w:trPr>
        <w:tc>
          <w:tcPr>
            <w:tcW w:w="629" w:type="pct"/>
            <w:vMerge/>
          </w:tcPr>
          <w:p w14:paraId="635622FE"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7A89580A"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02037BCF" w14:textId="77777777" w:rsidR="00603104" w:rsidRPr="00DF05C4" w:rsidRDefault="00603104" w:rsidP="00B62BA5">
            <w:pPr>
              <w:pStyle w:val="a8"/>
              <w:autoSpaceDE w:val="0"/>
              <w:autoSpaceDN w:val="0"/>
              <w:adjustRightInd w:val="0"/>
              <w:ind w:left="0"/>
              <w:jc w:val="both"/>
              <w:rPr>
                <w:sz w:val="17"/>
                <w:szCs w:val="17"/>
              </w:rPr>
            </w:pPr>
          </w:p>
        </w:tc>
        <w:tc>
          <w:tcPr>
            <w:tcW w:w="1038" w:type="pct"/>
          </w:tcPr>
          <w:p w14:paraId="5AB1778F"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количество совершенных сделок с ценной бумагой за последние 30 календарных дней, предшествующих дате расчета/определения справедливой стоимости, менее 10</w:t>
            </w:r>
          </w:p>
        </w:tc>
        <w:tc>
          <w:tcPr>
            <w:tcW w:w="671" w:type="pct"/>
          </w:tcPr>
          <w:p w14:paraId="65448E1A"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0,99</w:t>
            </w:r>
          </w:p>
        </w:tc>
        <w:tc>
          <w:tcPr>
            <w:tcW w:w="673" w:type="pct"/>
            <w:vMerge/>
          </w:tcPr>
          <w:p w14:paraId="120C7488" w14:textId="77777777" w:rsidR="00603104" w:rsidRPr="00DF05C4" w:rsidRDefault="00603104" w:rsidP="00B62BA5">
            <w:pPr>
              <w:pStyle w:val="a8"/>
              <w:autoSpaceDE w:val="0"/>
              <w:autoSpaceDN w:val="0"/>
              <w:adjustRightInd w:val="0"/>
              <w:ind w:left="0"/>
              <w:jc w:val="both"/>
              <w:rPr>
                <w:sz w:val="17"/>
                <w:szCs w:val="17"/>
              </w:rPr>
            </w:pPr>
          </w:p>
        </w:tc>
        <w:tc>
          <w:tcPr>
            <w:tcW w:w="645" w:type="pct"/>
            <w:vMerge/>
          </w:tcPr>
          <w:p w14:paraId="02DF4D44" w14:textId="77777777" w:rsidR="00603104" w:rsidRPr="00DF05C4" w:rsidRDefault="00603104" w:rsidP="00B62BA5">
            <w:pPr>
              <w:pStyle w:val="a8"/>
              <w:autoSpaceDE w:val="0"/>
              <w:autoSpaceDN w:val="0"/>
              <w:adjustRightInd w:val="0"/>
              <w:ind w:left="0"/>
              <w:jc w:val="both"/>
              <w:rPr>
                <w:sz w:val="17"/>
                <w:szCs w:val="17"/>
              </w:rPr>
            </w:pPr>
          </w:p>
        </w:tc>
      </w:tr>
      <w:tr w:rsidR="00603104" w:rsidRPr="00DF05C4" w14:paraId="3F84FBC2" w14:textId="77777777" w:rsidTr="00A95C42">
        <w:trPr>
          <w:trHeight w:val="608"/>
        </w:trPr>
        <w:tc>
          <w:tcPr>
            <w:tcW w:w="629" w:type="pct"/>
            <w:vMerge/>
          </w:tcPr>
          <w:p w14:paraId="69859294"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4455362B"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140BF9DF" w14:textId="77777777" w:rsidR="00603104" w:rsidRPr="00DF05C4" w:rsidRDefault="00603104" w:rsidP="00B62BA5">
            <w:pPr>
              <w:pStyle w:val="a8"/>
              <w:autoSpaceDE w:val="0"/>
              <w:autoSpaceDN w:val="0"/>
              <w:adjustRightInd w:val="0"/>
              <w:ind w:left="0"/>
              <w:jc w:val="both"/>
              <w:rPr>
                <w:sz w:val="17"/>
                <w:szCs w:val="17"/>
              </w:rPr>
            </w:pPr>
          </w:p>
        </w:tc>
        <w:tc>
          <w:tcPr>
            <w:tcW w:w="1038" w:type="pct"/>
          </w:tcPr>
          <w:p w14:paraId="2A7DA938" w14:textId="7227A5EB" w:rsidR="00603104" w:rsidRPr="00DF05C4" w:rsidRDefault="00603104" w:rsidP="00B62BA5">
            <w:pPr>
              <w:pStyle w:val="a8"/>
              <w:autoSpaceDE w:val="0"/>
              <w:autoSpaceDN w:val="0"/>
              <w:adjustRightInd w:val="0"/>
              <w:ind w:left="0"/>
              <w:jc w:val="both"/>
              <w:rPr>
                <w:sz w:val="17"/>
                <w:szCs w:val="17"/>
              </w:rPr>
            </w:pPr>
            <w:r w:rsidRPr="00DF05C4">
              <w:rPr>
                <w:sz w:val="17"/>
                <w:szCs w:val="17"/>
              </w:rPr>
              <w:t xml:space="preserve">– количество дней, в которые заключались сделки с ценной бумагой за последние 30 календарных дней, предшествующих дате расчета/определения </w:t>
            </w:r>
            <w:r w:rsidRPr="00DF05C4">
              <w:rPr>
                <w:sz w:val="17"/>
                <w:szCs w:val="17"/>
              </w:rPr>
              <w:lastRenderedPageBreak/>
              <w:t>справедливой стоимости, менее 5</w:t>
            </w:r>
          </w:p>
        </w:tc>
        <w:tc>
          <w:tcPr>
            <w:tcW w:w="671" w:type="pct"/>
          </w:tcPr>
          <w:p w14:paraId="31D18E94"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lastRenderedPageBreak/>
              <w:t>0,99</w:t>
            </w:r>
          </w:p>
        </w:tc>
        <w:tc>
          <w:tcPr>
            <w:tcW w:w="673" w:type="pct"/>
            <w:vMerge/>
          </w:tcPr>
          <w:p w14:paraId="4F57974F" w14:textId="77777777" w:rsidR="00603104" w:rsidRPr="00DF05C4" w:rsidRDefault="00603104" w:rsidP="00B62BA5">
            <w:pPr>
              <w:pStyle w:val="a8"/>
              <w:autoSpaceDE w:val="0"/>
              <w:autoSpaceDN w:val="0"/>
              <w:adjustRightInd w:val="0"/>
              <w:ind w:left="0"/>
              <w:jc w:val="both"/>
              <w:rPr>
                <w:sz w:val="17"/>
                <w:szCs w:val="17"/>
              </w:rPr>
            </w:pPr>
          </w:p>
        </w:tc>
        <w:tc>
          <w:tcPr>
            <w:tcW w:w="645" w:type="pct"/>
            <w:vMerge/>
          </w:tcPr>
          <w:p w14:paraId="6E549FD7" w14:textId="77777777" w:rsidR="00603104" w:rsidRPr="00DF05C4" w:rsidRDefault="00603104" w:rsidP="00B62BA5">
            <w:pPr>
              <w:pStyle w:val="a8"/>
              <w:autoSpaceDE w:val="0"/>
              <w:autoSpaceDN w:val="0"/>
              <w:adjustRightInd w:val="0"/>
              <w:ind w:left="0"/>
              <w:jc w:val="both"/>
              <w:rPr>
                <w:sz w:val="17"/>
                <w:szCs w:val="17"/>
              </w:rPr>
            </w:pPr>
          </w:p>
        </w:tc>
      </w:tr>
      <w:tr w:rsidR="00603104" w:rsidRPr="00DF05C4" w14:paraId="616B88D1" w14:textId="77777777" w:rsidTr="00A95C42">
        <w:trPr>
          <w:trHeight w:val="607"/>
        </w:trPr>
        <w:tc>
          <w:tcPr>
            <w:tcW w:w="629" w:type="pct"/>
            <w:vMerge/>
          </w:tcPr>
          <w:p w14:paraId="6BBB16AB"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03618C1F"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50492740" w14:textId="77777777" w:rsidR="00603104" w:rsidRPr="00DF05C4" w:rsidRDefault="00603104" w:rsidP="00B62BA5">
            <w:pPr>
              <w:pStyle w:val="a8"/>
              <w:autoSpaceDE w:val="0"/>
              <w:autoSpaceDN w:val="0"/>
              <w:adjustRightInd w:val="0"/>
              <w:ind w:left="0"/>
              <w:jc w:val="both"/>
              <w:rPr>
                <w:sz w:val="17"/>
                <w:szCs w:val="17"/>
              </w:rPr>
            </w:pPr>
          </w:p>
        </w:tc>
        <w:tc>
          <w:tcPr>
            <w:tcW w:w="1038" w:type="pct"/>
          </w:tcPr>
          <w:p w14:paraId="21739F9D"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объем торгов за последние 30 календарных дней, предшествующих дате расчета/определения справедливой стоимости, менее эквивалента 1 млн. долларов США</w:t>
            </w:r>
            <w:r w:rsidR="00062418" w:rsidRPr="00DF05C4">
              <w:rPr>
                <w:sz w:val="17"/>
                <w:szCs w:val="17"/>
              </w:rPr>
              <w:t xml:space="preserve"> в режиме основных торгов</w:t>
            </w:r>
          </w:p>
        </w:tc>
        <w:tc>
          <w:tcPr>
            <w:tcW w:w="671" w:type="pct"/>
          </w:tcPr>
          <w:p w14:paraId="6BBF09F2"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0,99</w:t>
            </w:r>
          </w:p>
        </w:tc>
        <w:tc>
          <w:tcPr>
            <w:tcW w:w="673" w:type="pct"/>
            <w:vMerge/>
          </w:tcPr>
          <w:p w14:paraId="1AED86CC" w14:textId="77777777" w:rsidR="00603104" w:rsidRPr="00DF05C4" w:rsidRDefault="00603104" w:rsidP="00B62BA5">
            <w:pPr>
              <w:pStyle w:val="a8"/>
              <w:autoSpaceDE w:val="0"/>
              <w:autoSpaceDN w:val="0"/>
              <w:adjustRightInd w:val="0"/>
              <w:ind w:left="0"/>
              <w:jc w:val="both"/>
              <w:rPr>
                <w:sz w:val="17"/>
                <w:szCs w:val="17"/>
              </w:rPr>
            </w:pPr>
          </w:p>
        </w:tc>
        <w:tc>
          <w:tcPr>
            <w:tcW w:w="645" w:type="pct"/>
            <w:vMerge/>
          </w:tcPr>
          <w:p w14:paraId="2558F995" w14:textId="77777777" w:rsidR="00603104" w:rsidRPr="00DF05C4" w:rsidRDefault="00603104" w:rsidP="00B62BA5">
            <w:pPr>
              <w:pStyle w:val="a8"/>
              <w:autoSpaceDE w:val="0"/>
              <w:autoSpaceDN w:val="0"/>
              <w:adjustRightInd w:val="0"/>
              <w:ind w:left="0"/>
              <w:jc w:val="both"/>
              <w:rPr>
                <w:sz w:val="17"/>
                <w:szCs w:val="17"/>
              </w:rPr>
            </w:pPr>
          </w:p>
        </w:tc>
      </w:tr>
      <w:tr w:rsidR="00603104" w:rsidRPr="00DF05C4" w14:paraId="7DD03AF3" w14:textId="77777777" w:rsidTr="00A95C42">
        <w:trPr>
          <w:trHeight w:val="607"/>
        </w:trPr>
        <w:tc>
          <w:tcPr>
            <w:tcW w:w="629" w:type="pct"/>
            <w:vMerge/>
          </w:tcPr>
          <w:p w14:paraId="756CA2E6"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63B23DC0"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47F7D3AE" w14:textId="77777777" w:rsidR="00603104" w:rsidRPr="00DF05C4" w:rsidRDefault="00603104" w:rsidP="00B62BA5">
            <w:pPr>
              <w:pStyle w:val="a8"/>
              <w:autoSpaceDE w:val="0"/>
              <w:autoSpaceDN w:val="0"/>
              <w:adjustRightInd w:val="0"/>
              <w:ind w:left="0"/>
              <w:jc w:val="both"/>
              <w:rPr>
                <w:sz w:val="17"/>
                <w:szCs w:val="17"/>
              </w:rPr>
            </w:pPr>
          </w:p>
        </w:tc>
        <w:tc>
          <w:tcPr>
            <w:tcW w:w="1038" w:type="pct"/>
          </w:tcPr>
          <w:p w14:paraId="09808764"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xml:space="preserve">– </w:t>
            </w:r>
            <w:r w:rsidR="007132C2" w:rsidRPr="00DF05C4">
              <w:rPr>
                <w:sz w:val="17"/>
                <w:szCs w:val="17"/>
              </w:rPr>
              <w:t>о</w:t>
            </w:r>
            <w:r w:rsidRPr="00DF05C4">
              <w:rPr>
                <w:sz w:val="17"/>
                <w:szCs w:val="17"/>
              </w:rPr>
              <w:t>тсутствие котировок по ценной бумаге в течение последних 30 календарных дней, предшествующих дате расчета/определения справедливой стоимости</w:t>
            </w:r>
          </w:p>
        </w:tc>
        <w:tc>
          <w:tcPr>
            <w:tcW w:w="671" w:type="pct"/>
          </w:tcPr>
          <w:p w14:paraId="22D6BE41"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0,99</w:t>
            </w:r>
          </w:p>
        </w:tc>
        <w:tc>
          <w:tcPr>
            <w:tcW w:w="673" w:type="pct"/>
            <w:vMerge/>
          </w:tcPr>
          <w:p w14:paraId="234D7C90" w14:textId="77777777" w:rsidR="00603104" w:rsidRPr="00DF05C4" w:rsidRDefault="00603104" w:rsidP="00B62BA5">
            <w:pPr>
              <w:pStyle w:val="a8"/>
              <w:autoSpaceDE w:val="0"/>
              <w:autoSpaceDN w:val="0"/>
              <w:adjustRightInd w:val="0"/>
              <w:ind w:left="0"/>
              <w:jc w:val="both"/>
              <w:rPr>
                <w:sz w:val="17"/>
                <w:szCs w:val="17"/>
              </w:rPr>
            </w:pPr>
          </w:p>
        </w:tc>
        <w:tc>
          <w:tcPr>
            <w:tcW w:w="645" w:type="pct"/>
            <w:vMerge/>
          </w:tcPr>
          <w:p w14:paraId="6EB05596" w14:textId="77777777" w:rsidR="00603104" w:rsidRPr="00DF05C4" w:rsidRDefault="00603104" w:rsidP="00B62BA5">
            <w:pPr>
              <w:pStyle w:val="a8"/>
              <w:autoSpaceDE w:val="0"/>
              <w:autoSpaceDN w:val="0"/>
              <w:adjustRightInd w:val="0"/>
              <w:ind w:left="0"/>
              <w:jc w:val="both"/>
              <w:rPr>
                <w:sz w:val="17"/>
                <w:szCs w:val="17"/>
              </w:rPr>
            </w:pPr>
          </w:p>
        </w:tc>
      </w:tr>
      <w:tr w:rsidR="00603104" w:rsidRPr="00DF05C4" w14:paraId="3796CC0F" w14:textId="77777777" w:rsidTr="00A95C42">
        <w:trPr>
          <w:trHeight w:val="607"/>
        </w:trPr>
        <w:tc>
          <w:tcPr>
            <w:tcW w:w="629" w:type="pct"/>
            <w:vMerge/>
          </w:tcPr>
          <w:p w14:paraId="38726601"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17BFF33B" w14:textId="77777777" w:rsidR="00603104" w:rsidRPr="00DF05C4" w:rsidRDefault="00603104" w:rsidP="00B62BA5">
            <w:pPr>
              <w:pStyle w:val="a8"/>
              <w:autoSpaceDE w:val="0"/>
              <w:autoSpaceDN w:val="0"/>
              <w:adjustRightInd w:val="0"/>
              <w:ind w:left="0"/>
              <w:jc w:val="both"/>
              <w:rPr>
                <w:sz w:val="17"/>
                <w:szCs w:val="17"/>
              </w:rPr>
            </w:pPr>
          </w:p>
        </w:tc>
        <w:tc>
          <w:tcPr>
            <w:tcW w:w="672" w:type="pct"/>
            <w:vMerge/>
          </w:tcPr>
          <w:p w14:paraId="39E2E11F" w14:textId="77777777" w:rsidR="00603104" w:rsidRPr="00DF05C4" w:rsidRDefault="00603104" w:rsidP="00B62BA5">
            <w:pPr>
              <w:pStyle w:val="a8"/>
              <w:autoSpaceDE w:val="0"/>
              <w:autoSpaceDN w:val="0"/>
              <w:adjustRightInd w:val="0"/>
              <w:ind w:left="0"/>
              <w:jc w:val="both"/>
              <w:rPr>
                <w:sz w:val="17"/>
                <w:szCs w:val="17"/>
              </w:rPr>
            </w:pPr>
          </w:p>
        </w:tc>
        <w:tc>
          <w:tcPr>
            <w:tcW w:w="1038" w:type="pct"/>
          </w:tcPr>
          <w:p w14:paraId="702134D3" w14:textId="07C0FD70" w:rsidR="0022099B" w:rsidRPr="00DF05C4" w:rsidRDefault="0022099B" w:rsidP="00B62BA5">
            <w:pPr>
              <w:pStyle w:val="a8"/>
              <w:autoSpaceDE w:val="0"/>
              <w:autoSpaceDN w:val="0"/>
              <w:adjustRightInd w:val="0"/>
              <w:ind w:left="0"/>
              <w:jc w:val="both"/>
              <w:rPr>
                <w:rFonts w:eastAsia="Microsoft Sans Serif"/>
                <w:sz w:val="17"/>
                <w:szCs w:val="17"/>
                <w:lang w:bidi="ru-RU"/>
              </w:rPr>
            </w:pPr>
          </w:p>
        </w:tc>
        <w:tc>
          <w:tcPr>
            <w:tcW w:w="671" w:type="pct"/>
          </w:tcPr>
          <w:p w14:paraId="65DBA028" w14:textId="61097706" w:rsidR="00603104" w:rsidRPr="00DF05C4" w:rsidRDefault="00603104" w:rsidP="00B62BA5">
            <w:pPr>
              <w:pStyle w:val="a8"/>
              <w:autoSpaceDE w:val="0"/>
              <w:autoSpaceDN w:val="0"/>
              <w:adjustRightInd w:val="0"/>
              <w:ind w:left="0"/>
              <w:jc w:val="both"/>
              <w:rPr>
                <w:sz w:val="17"/>
                <w:szCs w:val="17"/>
              </w:rPr>
            </w:pPr>
          </w:p>
        </w:tc>
        <w:tc>
          <w:tcPr>
            <w:tcW w:w="673" w:type="pct"/>
            <w:vMerge/>
          </w:tcPr>
          <w:p w14:paraId="359BFA05" w14:textId="77777777" w:rsidR="00603104" w:rsidRPr="00DF05C4" w:rsidRDefault="00603104" w:rsidP="00B62BA5">
            <w:pPr>
              <w:pStyle w:val="a8"/>
              <w:autoSpaceDE w:val="0"/>
              <w:autoSpaceDN w:val="0"/>
              <w:adjustRightInd w:val="0"/>
              <w:ind w:left="0"/>
              <w:jc w:val="both"/>
              <w:rPr>
                <w:sz w:val="17"/>
                <w:szCs w:val="17"/>
              </w:rPr>
            </w:pPr>
          </w:p>
        </w:tc>
        <w:tc>
          <w:tcPr>
            <w:tcW w:w="645" w:type="pct"/>
            <w:vMerge/>
          </w:tcPr>
          <w:p w14:paraId="3BD36357" w14:textId="77777777" w:rsidR="00603104" w:rsidRPr="00DF05C4" w:rsidRDefault="00603104" w:rsidP="00B62BA5">
            <w:pPr>
              <w:pStyle w:val="a8"/>
              <w:autoSpaceDE w:val="0"/>
              <w:autoSpaceDN w:val="0"/>
              <w:adjustRightInd w:val="0"/>
              <w:ind w:left="0"/>
              <w:jc w:val="both"/>
              <w:rPr>
                <w:sz w:val="17"/>
                <w:szCs w:val="17"/>
              </w:rPr>
            </w:pPr>
          </w:p>
        </w:tc>
      </w:tr>
      <w:tr w:rsidR="00603104" w:rsidRPr="00DF05C4" w14:paraId="6395D89E" w14:textId="77777777" w:rsidTr="00A95C42">
        <w:tc>
          <w:tcPr>
            <w:tcW w:w="629" w:type="pct"/>
          </w:tcPr>
          <w:p w14:paraId="2F1F31EB"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lang w:val="en-US"/>
              </w:rPr>
              <w:t xml:space="preserve">2 </w:t>
            </w:r>
            <w:r w:rsidRPr="00DF05C4">
              <w:rPr>
                <w:sz w:val="17"/>
                <w:szCs w:val="17"/>
              </w:rPr>
              <w:t>уровень</w:t>
            </w:r>
          </w:p>
        </w:tc>
        <w:tc>
          <w:tcPr>
            <w:tcW w:w="672" w:type="pct"/>
          </w:tcPr>
          <w:p w14:paraId="5ACACF5F" w14:textId="08B62F90" w:rsidR="00603104" w:rsidRPr="00DF05C4" w:rsidRDefault="00603104" w:rsidP="00B62BA5">
            <w:pPr>
              <w:pStyle w:val="a8"/>
              <w:autoSpaceDE w:val="0"/>
              <w:autoSpaceDN w:val="0"/>
              <w:adjustRightInd w:val="0"/>
              <w:ind w:left="0"/>
              <w:jc w:val="both"/>
              <w:rPr>
                <w:sz w:val="17"/>
                <w:szCs w:val="17"/>
              </w:rPr>
            </w:pPr>
            <w:r w:rsidRPr="00DF05C4">
              <w:rPr>
                <w:sz w:val="17"/>
                <w:szCs w:val="17"/>
              </w:rPr>
              <w:t>Цена аналогичной ценной бумаги</w:t>
            </w:r>
            <w:r w:rsidR="00272256" w:rsidRPr="00DF05C4">
              <w:rPr>
                <w:sz w:val="17"/>
                <w:szCs w:val="17"/>
              </w:rPr>
              <w:t xml:space="preserve"> на активном</w:t>
            </w:r>
            <w:r w:rsidRPr="00DF05C4">
              <w:rPr>
                <w:sz w:val="17"/>
                <w:szCs w:val="17"/>
              </w:rPr>
              <w:t xml:space="preserve"> рынке, определенная рыночным методом</w:t>
            </w:r>
          </w:p>
        </w:tc>
        <w:tc>
          <w:tcPr>
            <w:tcW w:w="672" w:type="pct"/>
          </w:tcPr>
          <w:p w14:paraId="318268E6"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Управление ценных бумаг совместно с Управлением контроля рисков</w:t>
            </w:r>
          </w:p>
        </w:tc>
        <w:tc>
          <w:tcPr>
            <w:tcW w:w="1038" w:type="pct"/>
          </w:tcPr>
          <w:p w14:paraId="72FEFCEB" w14:textId="5A90700E" w:rsidR="00603104" w:rsidRPr="00DF05C4" w:rsidRDefault="00603104" w:rsidP="00B62BA5">
            <w:pPr>
              <w:autoSpaceDE w:val="0"/>
              <w:autoSpaceDN w:val="0"/>
              <w:adjustRightInd w:val="0"/>
              <w:jc w:val="both"/>
              <w:rPr>
                <w:sz w:val="17"/>
                <w:szCs w:val="17"/>
              </w:rPr>
            </w:pPr>
            <w:r w:rsidRPr="00DF05C4">
              <w:rPr>
                <w:sz w:val="17"/>
                <w:szCs w:val="17"/>
              </w:rPr>
              <w:t>Учет признаков обесценения ценной бумаги (произошли существенные события, в результате которых рыночная цена (котировка) активного рынка перестала отражать справедливую стоимость на дату оценки вследствие следующих обстоятельств:</w:t>
            </w:r>
          </w:p>
          <w:p w14:paraId="3B39BA82" w14:textId="77777777" w:rsidR="00603104" w:rsidRPr="00DF05C4" w:rsidRDefault="00603104" w:rsidP="00B62BA5">
            <w:pPr>
              <w:autoSpaceDE w:val="0"/>
              <w:autoSpaceDN w:val="0"/>
              <w:adjustRightInd w:val="0"/>
              <w:jc w:val="both"/>
              <w:rPr>
                <w:sz w:val="17"/>
                <w:szCs w:val="17"/>
              </w:rPr>
            </w:pPr>
            <w:r w:rsidRPr="00DF05C4">
              <w:rPr>
                <w:sz w:val="17"/>
                <w:szCs w:val="17"/>
              </w:rPr>
              <w:t>– существенное ухудшение финансового состояния эмитента;</w:t>
            </w:r>
          </w:p>
          <w:p w14:paraId="30B4DFE0" w14:textId="77777777" w:rsidR="00603104" w:rsidRPr="00DF05C4" w:rsidRDefault="00603104" w:rsidP="00B62BA5">
            <w:pPr>
              <w:autoSpaceDE w:val="0"/>
              <w:autoSpaceDN w:val="0"/>
              <w:adjustRightInd w:val="0"/>
              <w:jc w:val="both"/>
              <w:rPr>
                <w:sz w:val="17"/>
                <w:szCs w:val="17"/>
              </w:rPr>
            </w:pPr>
            <w:r w:rsidRPr="00DF05C4">
              <w:rPr>
                <w:sz w:val="17"/>
                <w:szCs w:val="17"/>
              </w:rPr>
              <w:t>– начало процедуры банкротства эмитента;</w:t>
            </w:r>
          </w:p>
          <w:p w14:paraId="345C78BB" w14:textId="77777777" w:rsidR="00C94812" w:rsidRPr="00DF05C4" w:rsidRDefault="00603104" w:rsidP="00B62BA5">
            <w:pPr>
              <w:autoSpaceDE w:val="0"/>
              <w:autoSpaceDN w:val="0"/>
              <w:adjustRightInd w:val="0"/>
              <w:jc w:val="both"/>
              <w:rPr>
                <w:sz w:val="17"/>
                <w:szCs w:val="17"/>
              </w:rPr>
            </w:pPr>
            <w:r w:rsidRPr="00DF05C4">
              <w:rPr>
                <w:sz w:val="17"/>
                <w:szCs w:val="17"/>
              </w:rPr>
              <w:t>– выявление фактов неисполнения эмитентом своих обязательств по какой-либо ценной бумаге</w:t>
            </w:r>
            <w:r w:rsidR="00AA2326" w:rsidRPr="00DF05C4">
              <w:rPr>
                <w:sz w:val="17"/>
                <w:szCs w:val="17"/>
              </w:rPr>
              <w:t>, в том числе выставление предложений по реструктуризации долговых обязательств эмитента</w:t>
            </w:r>
            <w:r w:rsidRPr="00DF05C4">
              <w:rPr>
                <w:sz w:val="17"/>
                <w:szCs w:val="17"/>
              </w:rPr>
              <w:t>;</w:t>
            </w:r>
          </w:p>
          <w:p w14:paraId="25FD5544" w14:textId="5ABD89CE" w:rsidR="00603104" w:rsidRPr="00DF05C4" w:rsidRDefault="00603104" w:rsidP="00B62BA5">
            <w:pPr>
              <w:autoSpaceDE w:val="0"/>
              <w:autoSpaceDN w:val="0"/>
              <w:adjustRightInd w:val="0"/>
              <w:jc w:val="both"/>
              <w:rPr>
                <w:sz w:val="17"/>
                <w:szCs w:val="17"/>
              </w:rPr>
            </w:pPr>
            <w:r w:rsidRPr="00DF05C4">
              <w:rPr>
                <w:sz w:val="17"/>
                <w:szCs w:val="17"/>
              </w:rPr>
              <w:t xml:space="preserve">– прочие существенные события в деятельности эмитента. </w:t>
            </w:r>
          </w:p>
          <w:p w14:paraId="02BCD0B9" w14:textId="77777777" w:rsidR="00603104" w:rsidRPr="00DF05C4" w:rsidRDefault="00603104" w:rsidP="00B62BA5">
            <w:pPr>
              <w:autoSpaceDE w:val="0"/>
              <w:autoSpaceDN w:val="0"/>
              <w:adjustRightInd w:val="0"/>
              <w:jc w:val="both"/>
              <w:rPr>
                <w:sz w:val="17"/>
                <w:szCs w:val="17"/>
              </w:rPr>
            </w:pPr>
            <w:r w:rsidRPr="00DF05C4">
              <w:rPr>
                <w:sz w:val="17"/>
                <w:szCs w:val="17"/>
              </w:rPr>
              <w:t>Учет признаков обесценения ценной бумаги:</w:t>
            </w:r>
          </w:p>
          <w:p w14:paraId="209FF378" w14:textId="504B68CD" w:rsidR="00603104" w:rsidRPr="00DF05C4" w:rsidRDefault="00603104" w:rsidP="00B62BA5">
            <w:pPr>
              <w:autoSpaceDE w:val="0"/>
              <w:autoSpaceDN w:val="0"/>
              <w:adjustRightInd w:val="0"/>
              <w:jc w:val="both"/>
              <w:rPr>
                <w:sz w:val="17"/>
                <w:szCs w:val="17"/>
              </w:rPr>
            </w:pPr>
            <w:r w:rsidRPr="00DF05C4">
              <w:rPr>
                <w:sz w:val="17"/>
                <w:szCs w:val="17"/>
              </w:rPr>
              <w:t xml:space="preserve">– снижение цены долговой ценной бумаги на активном рынке более </w:t>
            </w:r>
            <w:r w:rsidR="00AB0490" w:rsidRPr="00DF05C4">
              <w:rPr>
                <w:sz w:val="17"/>
                <w:szCs w:val="17"/>
              </w:rPr>
              <w:t>25</w:t>
            </w:r>
            <w:r w:rsidRPr="00DF05C4">
              <w:rPr>
                <w:sz w:val="17"/>
                <w:szCs w:val="17"/>
              </w:rPr>
              <w:t>% в течение 3 торговых дней;</w:t>
            </w:r>
          </w:p>
          <w:p w14:paraId="334C0728" w14:textId="77777777" w:rsidR="00603104" w:rsidRPr="00DF05C4" w:rsidRDefault="00603104" w:rsidP="00B62BA5">
            <w:pPr>
              <w:autoSpaceDE w:val="0"/>
              <w:autoSpaceDN w:val="0"/>
              <w:adjustRightInd w:val="0"/>
              <w:jc w:val="both"/>
              <w:rPr>
                <w:sz w:val="17"/>
                <w:szCs w:val="17"/>
              </w:rPr>
            </w:pPr>
            <w:r w:rsidRPr="00DF05C4">
              <w:rPr>
                <w:sz w:val="17"/>
                <w:szCs w:val="17"/>
              </w:rPr>
              <w:t xml:space="preserve">– снижение цены долевой ценной бумаги на активном рынке более </w:t>
            </w:r>
            <w:r w:rsidR="00AB0490" w:rsidRPr="00DF05C4">
              <w:rPr>
                <w:sz w:val="17"/>
                <w:szCs w:val="17"/>
              </w:rPr>
              <w:t>50</w:t>
            </w:r>
            <w:r w:rsidRPr="00DF05C4">
              <w:rPr>
                <w:sz w:val="17"/>
                <w:szCs w:val="17"/>
              </w:rPr>
              <w:t>% в течение 3 торговых дней.</w:t>
            </w:r>
          </w:p>
          <w:p w14:paraId="06BB5BBB" w14:textId="77777777" w:rsidR="00603104" w:rsidRPr="00DF05C4" w:rsidRDefault="00603104" w:rsidP="00B62BA5">
            <w:pPr>
              <w:autoSpaceDE w:val="0"/>
              <w:autoSpaceDN w:val="0"/>
              <w:adjustRightInd w:val="0"/>
              <w:jc w:val="both"/>
              <w:rPr>
                <w:sz w:val="17"/>
                <w:szCs w:val="17"/>
              </w:rPr>
            </w:pPr>
            <w:r w:rsidRPr="00DF05C4">
              <w:rPr>
                <w:sz w:val="17"/>
                <w:szCs w:val="17"/>
              </w:rPr>
              <w:t xml:space="preserve">Исчезновение активного рынка для аналогичной ценной бумаги </w:t>
            </w:r>
          </w:p>
        </w:tc>
        <w:tc>
          <w:tcPr>
            <w:tcW w:w="671" w:type="pct"/>
          </w:tcPr>
          <w:p w14:paraId="5CBAD260"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xml:space="preserve">Производится поиск другой аналогичной ценной бумаги, при отсутствии которой используются исходные данные 3 уровня </w:t>
            </w:r>
          </w:p>
        </w:tc>
        <w:tc>
          <w:tcPr>
            <w:tcW w:w="673" w:type="pct"/>
          </w:tcPr>
          <w:p w14:paraId="0625849F"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Управление ценных бумаг совместно с Управлением контроля рисков</w:t>
            </w:r>
          </w:p>
        </w:tc>
        <w:tc>
          <w:tcPr>
            <w:tcW w:w="645" w:type="pct"/>
          </w:tcPr>
          <w:p w14:paraId="685D6FC5"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3 уровень</w:t>
            </w:r>
          </w:p>
        </w:tc>
      </w:tr>
      <w:tr w:rsidR="00603104" w:rsidRPr="00DF05C4" w14:paraId="04F184BA" w14:textId="77777777" w:rsidTr="00A95C42">
        <w:tc>
          <w:tcPr>
            <w:tcW w:w="629" w:type="pct"/>
            <w:vMerge w:val="restart"/>
          </w:tcPr>
          <w:p w14:paraId="06A40F80"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3 уровень</w:t>
            </w:r>
          </w:p>
        </w:tc>
        <w:tc>
          <w:tcPr>
            <w:tcW w:w="672" w:type="pct"/>
          </w:tcPr>
          <w:p w14:paraId="5EF35CC4"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Доходный метод</w:t>
            </w:r>
          </w:p>
        </w:tc>
        <w:tc>
          <w:tcPr>
            <w:tcW w:w="672" w:type="pct"/>
            <w:vMerge w:val="restart"/>
          </w:tcPr>
          <w:p w14:paraId="393ABF0B"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Управление контроля рисков</w:t>
            </w:r>
          </w:p>
        </w:tc>
        <w:tc>
          <w:tcPr>
            <w:tcW w:w="1038" w:type="pct"/>
            <w:vMerge w:val="restart"/>
          </w:tcPr>
          <w:p w14:paraId="1DBFDBCB"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Корректировка на модельный риск</w:t>
            </w:r>
          </w:p>
        </w:tc>
        <w:tc>
          <w:tcPr>
            <w:tcW w:w="671" w:type="pct"/>
            <w:vMerge w:val="restart"/>
          </w:tcPr>
          <w:p w14:paraId="645FC992"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 (+) 5% от цены ценной бумаги для длинной (короткой) позиции</w:t>
            </w:r>
          </w:p>
        </w:tc>
        <w:tc>
          <w:tcPr>
            <w:tcW w:w="673" w:type="pct"/>
            <w:vMerge w:val="restart"/>
          </w:tcPr>
          <w:p w14:paraId="49C4C32D"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Управление контроля рисков</w:t>
            </w:r>
          </w:p>
        </w:tc>
        <w:tc>
          <w:tcPr>
            <w:tcW w:w="645" w:type="pct"/>
            <w:vMerge w:val="restart"/>
          </w:tcPr>
          <w:p w14:paraId="1C8066B9"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3 уровень</w:t>
            </w:r>
          </w:p>
        </w:tc>
      </w:tr>
      <w:tr w:rsidR="00603104" w:rsidRPr="00DF05C4" w14:paraId="61E6BD56" w14:textId="77777777" w:rsidTr="00A95C42">
        <w:tc>
          <w:tcPr>
            <w:tcW w:w="629" w:type="pct"/>
            <w:vMerge/>
          </w:tcPr>
          <w:p w14:paraId="407D8BEB" w14:textId="77777777" w:rsidR="00603104" w:rsidRPr="00DF05C4" w:rsidRDefault="00603104" w:rsidP="00B62BA5">
            <w:pPr>
              <w:pStyle w:val="a8"/>
              <w:autoSpaceDE w:val="0"/>
              <w:autoSpaceDN w:val="0"/>
              <w:adjustRightInd w:val="0"/>
              <w:ind w:left="0"/>
              <w:jc w:val="both"/>
              <w:rPr>
                <w:sz w:val="17"/>
                <w:szCs w:val="17"/>
              </w:rPr>
            </w:pPr>
          </w:p>
        </w:tc>
        <w:tc>
          <w:tcPr>
            <w:tcW w:w="672" w:type="pct"/>
          </w:tcPr>
          <w:p w14:paraId="2B6D80A0" w14:textId="77777777" w:rsidR="00603104" w:rsidRPr="00DF05C4" w:rsidRDefault="00603104" w:rsidP="00B62BA5">
            <w:pPr>
              <w:pStyle w:val="a8"/>
              <w:autoSpaceDE w:val="0"/>
              <w:autoSpaceDN w:val="0"/>
              <w:adjustRightInd w:val="0"/>
              <w:ind w:left="0"/>
              <w:jc w:val="both"/>
              <w:rPr>
                <w:sz w:val="17"/>
                <w:szCs w:val="17"/>
              </w:rPr>
            </w:pPr>
            <w:r w:rsidRPr="00DF05C4">
              <w:rPr>
                <w:sz w:val="17"/>
                <w:szCs w:val="17"/>
              </w:rPr>
              <w:t>Затратный метод</w:t>
            </w:r>
          </w:p>
        </w:tc>
        <w:tc>
          <w:tcPr>
            <w:tcW w:w="672" w:type="pct"/>
            <w:vMerge/>
          </w:tcPr>
          <w:p w14:paraId="22EC5431" w14:textId="77777777" w:rsidR="00603104" w:rsidRPr="00DF05C4" w:rsidRDefault="00603104" w:rsidP="00B62BA5">
            <w:pPr>
              <w:pStyle w:val="a8"/>
              <w:autoSpaceDE w:val="0"/>
              <w:autoSpaceDN w:val="0"/>
              <w:adjustRightInd w:val="0"/>
              <w:ind w:left="0"/>
              <w:jc w:val="both"/>
              <w:rPr>
                <w:sz w:val="17"/>
                <w:szCs w:val="17"/>
              </w:rPr>
            </w:pPr>
          </w:p>
        </w:tc>
        <w:tc>
          <w:tcPr>
            <w:tcW w:w="1038" w:type="pct"/>
            <w:vMerge/>
          </w:tcPr>
          <w:p w14:paraId="5F669C03" w14:textId="77777777" w:rsidR="00603104" w:rsidRPr="00DF05C4" w:rsidRDefault="00603104" w:rsidP="00B62BA5">
            <w:pPr>
              <w:pStyle w:val="a8"/>
              <w:autoSpaceDE w:val="0"/>
              <w:autoSpaceDN w:val="0"/>
              <w:adjustRightInd w:val="0"/>
              <w:ind w:left="0"/>
              <w:jc w:val="both"/>
              <w:rPr>
                <w:sz w:val="17"/>
                <w:szCs w:val="17"/>
              </w:rPr>
            </w:pPr>
          </w:p>
        </w:tc>
        <w:tc>
          <w:tcPr>
            <w:tcW w:w="671" w:type="pct"/>
            <w:vMerge/>
          </w:tcPr>
          <w:p w14:paraId="7E7C127A" w14:textId="77777777" w:rsidR="00603104" w:rsidRPr="00DF05C4" w:rsidRDefault="00603104" w:rsidP="00B62BA5">
            <w:pPr>
              <w:pStyle w:val="a8"/>
              <w:autoSpaceDE w:val="0"/>
              <w:autoSpaceDN w:val="0"/>
              <w:adjustRightInd w:val="0"/>
              <w:ind w:left="0"/>
              <w:jc w:val="both"/>
              <w:rPr>
                <w:sz w:val="17"/>
                <w:szCs w:val="17"/>
              </w:rPr>
            </w:pPr>
          </w:p>
        </w:tc>
        <w:tc>
          <w:tcPr>
            <w:tcW w:w="673" w:type="pct"/>
            <w:vMerge/>
          </w:tcPr>
          <w:p w14:paraId="78DDC808" w14:textId="77777777" w:rsidR="00603104" w:rsidRPr="00DF05C4" w:rsidRDefault="00603104" w:rsidP="00B62BA5">
            <w:pPr>
              <w:pStyle w:val="a8"/>
              <w:autoSpaceDE w:val="0"/>
              <w:autoSpaceDN w:val="0"/>
              <w:adjustRightInd w:val="0"/>
              <w:ind w:left="0"/>
              <w:jc w:val="both"/>
              <w:rPr>
                <w:sz w:val="17"/>
                <w:szCs w:val="17"/>
              </w:rPr>
            </w:pPr>
          </w:p>
        </w:tc>
        <w:tc>
          <w:tcPr>
            <w:tcW w:w="645" w:type="pct"/>
            <w:vMerge/>
          </w:tcPr>
          <w:p w14:paraId="6F4FC288" w14:textId="77777777" w:rsidR="00603104" w:rsidRPr="00DF05C4" w:rsidRDefault="00603104" w:rsidP="00B62BA5">
            <w:pPr>
              <w:pStyle w:val="a8"/>
              <w:autoSpaceDE w:val="0"/>
              <w:autoSpaceDN w:val="0"/>
              <w:adjustRightInd w:val="0"/>
              <w:ind w:left="0"/>
              <w:jc w:val="both"/>
              <w:rPr>
                <w:sz w:val="17"/>
                <w:szCs w:val="17"/>
              </w:rPr>
            </w:pPr>
          </w:p>
        </w:tc>
      </w:tr>
    </w:tbl>
    <w:p w14:paraId="6BFA75AA" w14:textId="77777777" w:rsidR="00CB4A4A" w:rsidRPr="000D466B" w:rsidRDefault="00CB4A4A" w:rsidP="00B62BA5">
      <w:pPr>
        <w:pStyle w:val="a8"/>
        <w:autoSpaceDE w:val="0"/>
        <w:autoSpaceDN w:val="0"/>
        <w:adjustRightInd w:val="0"/>
        <w:ind w:left="360"/>
        <w:jc w:val="both"/>
        <w:rPr>
          <w:rFonts w:ascii="Times New Roman" w:hAnsi="Times New Roman" w:cs="Times New Roman"/>
        </w:rPr>
      </w:pPr>
    </w:p>
    <w:p w14:paraId="39A1AC5A" w14:textId="4A7FB92B" w:rsidR="0040768F" w:rsidRPr="000D466B" w:rsidRDefault="0040768F" w:rsidP="00B62BA5">
      <w:pPr>
        <w:autoSpaceDE w:val="0"/>
        <w:autoSpaceDN w:val="0"/>
        <w:adjustRightInd w:val="0"/>
        <w:jc w:val="right"/>
        <w:rPr>
          <w:rFonts w:ascii="Times New Roman" w:hAnsi="Times New Roman" w:cs="Times New Roman"/>
        </w:rPr>
      </w:pPr>
      <w:r w:rsidRPr="000D466B">
        <w:rPr>
          <w:rFonts w:ascii="Times New Roman" w:hAnsi="Times New Roman" w:cs="Times New Roman"/>
        </w:rPr>
        <w:t>Приложение №3</w:t>
      </w:r>
    </w:p>
    <w:p w14:paraId="75468392" w14:textId="644ABDD2" w:rsidR="000C7093" w:rsidRPr="000D466B" w:rsidRDefault="000C7093" w:rsidP="00B62BA5">
      <w:pPr>
        <w:autoSpaceDE w:val="0"/>
        <w:autoSpaceDN w:val="0"/>
        <w:adjustRightInd w:val="0"/>
        <w:jc w:val="right"/>
        <w:rPr>
          <w:rFonts w:ascii="Times New Roman" w:hAnsi="Times New Roman" w:cs="Times New Roman"/>
        </w:rPr>
      </w:pPr>
    </w:p>
    <w:p w14:paraId="22610818" w14:textId="77777777" w:rsidR="00146ECA" w:rsidRPr="000D466B" w:rsidRDefault="00146ECA" w:rsidP="00B62BA5">
      <w:pPr>
        <w:autoSpaceDE w:val="0"/>
        <w:autoSpaceDN w:val="0"/>
        <w:adjustRightInd w:val="0"/>
        <w:jc w:val="right"/>
        <w:rPr>
          <w:rFonts w:ascii="Times New Roman" w:hAnsi="Times New Roman" w:cs="Times New Roman"/>
        </w:rPr>
      </w:pPr>
    </w:p>
    <w:p w14:paraId="2D3279F7" w14:textId="77777777" w:rsidR="000C7093" w:rsidRPr="000D466B" w:rsidRDefault="000C7093" w:rsidP="00B62BA5">
      <w:pPr>
        <w:autoSpaceDE w:val="0"/>
        <w:autoSpaceDN w:val="0"/>
        <w:adjustRightInd w:val="0"/>
        <w:jc w:val="right"/>
        <w:rPr>
          <w:rFonts w:ascii="Times New Roman" w:hAnsi="Times New Roman" w:cs="Times New Roman"/>
        </w:rPr>
      </w:pPr>
      <w:r w:rsidRPr="000D466B">
        <w:rPr>
          <w:rFonts w:ascii="Times New Roman" w:hAnsi="Times New Roman" w:cs="Times New Roman"/>
        </w:rPr>
        <w:lastRenderedPageBreak/>
        <w:t>В Управление сопровождения операций (Бэк-офис)</w:t>
      </w:r>
    </w:p>
    <w:p w14:paraId="02D94578" w14:textId="77777777" w:rsidR="00146ECA" w:rsidRPr="000D466B" w:rsidRDefault="00146ECA" w:rsidP="00B62BA5">
      <w:pPr>
        <w:autoSpaceDE w:val="0"/>
        <w:autoSpaceDN w:val="0"/>
        <w:adjustRightInd w:val="0"/>
        <w:rPr>
          <w:rFonts w:ascii="Times New Roman" w:hAnsi="Times New Roman" w:cs="Times New Roman"/>
        </w:rPr>
      </w:pPr>
    </w:p>
    <w:p w14:paraId="69D5FEC7" w14:textId="77777777" w:rsidR="000C7093" w:rsidRPr="000D466B" w:rsidRDefault="000C7093" w:rsidP="00B62BA5">
      <w:pPr>
        <w:autoSpaceDE w:val="0"/>
        <w:autoSpaceDN w:val="0"/>
        <w:adjustRightInd w:val="0"/>
        <w:rPr>
          <w:rFonts w:ascii="Times New Roman" w:hAnsi="Times New Roman" w:cs="Times New Roman"/>
        </w:rPr>
      </w:pPr>
      <w:r w:rsidRPr="000D466B">
        <w:rPr>
          <w:rFonts w:ascii="Times New Roman" w:hAnsi="Times New Roman" w:cs="Times New Roman"/>
        </w:rPr>
        <w:t>Дата определения справедливой стоимости» «___» __________20 __ г.</w:t>
      </w:r>
    </w:p>
    <w:p w14:paraId="519C0D41" w14:textId="77777777" w:rsidR="000C7093" w:rsidRDefault="000C7093" w:rsidP="00B62BA5">
      <w:pPr>
        <w:autoSpaceDE w:val="0"/>
        <w:autoSpaceDN w:val="0"/>
        <w:adjustRightInd w:val="0"/>
        <w:rPr>
          <w:rFonts w:ascii="Times New Roman" w:hAnsi="Times New Roman" w:cs="Times New Roman"/>
        </w:rPr>
      </w:pPr>
    </w:p>
    <w:tbl>
      <w:tblPr>
        <w:tblStyle w:val="ac"/>
        <w:tblW w:w="0" w:type="auto"/>
        <w:tblLook w:val="04A0" w:firstRow="1" w:lastRow="0" w:firstColumn="1" w:lastColumn="0" w:noHBand="0" w:noVBand="1"/>
      </w:tblPr>
      <w:tblGrid>
        <w:gridCol w:w="4785"/>
        <w:gridCol w:w="4962"/>
      </w:tblGrid>
      <w:tr w:rsidR="000C7093" w:rsidRPr="009A1AD1" w14:paraId="1752EFAB" w14:textId="77777777" w:rsidTr="00E14383">
        <w:tc>
          <w:tcPr>
            <w:tcW w:w="4785" w:type="dxa"/>
          </w:tcPr>
          <w:p w14:paraId="6AB56535" w14:textId="24AC9032" w:rsidR="000C7093" w:rsidRPr="009A1AD1" w:rsidRDefault="000C7093" w:rsidP="00B62BA5">
            <w:pPr>
              <w:rPr>
                <w:sz w:val="18"/>
                <w:szCs w:val="18"/>
              </w:rPr>
            </w:pPr>
            <w:r w:rsidRPr="009A1AD1">
              <w:rPr>
                <w:sz w:val="18"/>
                <w:szCs w:val="18"/>
              </w:rPr>
              <w:t>Вид и наименование ПФИ</w:t>
            </w:r>
          </w:p>
        </w:tc>
        <w:tc>
          <w:tcPr>
            <w:tcW w:w="4962" w:type="dxa"/>
          </w:tcPr>
          <w:p w14:paraId="4BF87FFD" w14:textId="77777777" w:rsidR="000C7093" w:rsidRPr="009A1AD1" w:rsidRDefault="000C7093" w:rsidP="00B62BA5">
            <w:pPr>
              <w:autoSpaceDE w:val="0"/>
              <w:autoSpaceDN w:val="0"/>
              <w:adjustRightInd w:val="0"/>
              <w:rPr>
                <w:sz w:val="18"/>
                <w:szCs w:val="18"/>
              </w:rPr>
            </w:pPr>
          </w:p>
        </w:tc>
      </w:tr>
      <w:tr w:rsidR="000C7093" w:rsidRPr="009A1AD1" w14:paraId="529E0E5C" w14:textId="77777777" w:rsidTr="00E14383">
        <w:tc>
          <w:tcPr>
            <w:tcW w:w="4785" w:type="dxa"/>
          </w:tcPr>
          <w:p w14:paraId="0642B29E" w14:textId="45BEADF1" w:rsidR="000C7093" w:rsidRPr="009A1AD1" w:rsidRDefault="000C7093" w:rsidP="00B62BA5">
            <w:pPr>
              <w:autoSpaceDE w:val="0"/>
              <w:autoSpaceDN w:val="0"/>
              <w:adjustRightInd w:val="0"/>
              <w:rPr>
                <w:sz w:val="18"/>
                <w:szCs w:val="18"/>
              </w:rPr>
            </w:pPr>
            <w:r w:rsidRPr="009A1AD1">
              <w:rPr>
                <w:sz w:val="18"/>
                <w:szCs w:val="18"/>
              </w:rPr>
              <w:t>Источники информации, используемые для</w:t>
            </w:r>
            <w:r w:rsidR="00D6601E">
              <w:rPr>
                <w:sz w:val="18"/>
                <w:szCs w:val="18"/>
              </w:rPr>
              <w:t xml:space="preserve"> </w:t>
            </w:r>
            <w:r w:rsidRPr="009A1AD1">
              <w:rPr>
                <w:sz w:val="18"/>
                <w:szCs w:val="18"/>
              </w:rPr>
              <w:t xml:space="preserve">оценки справедливой стоимости </w:t>
            </w:r>
          </w:p>
        </w:tc>
        <w:tc>
          <w:tcPr>
            <w:tcW w:w="4962" w:type="dxa"/>
          </w:tcPr>
          <w:p w14:paraId="47CB057B" w14:textId="77777777" w:rsidR="000C7093" w:rsidRPr="009A1AD1" w:rsidRDefault="000C7093" w:rsidP="00B62BA5">
            <w:pPr>
              <w:autoSpaceDE w:val="0"/>
              <w:autoSpaceDN w:val="0"/>
              <w:adjustRightInd w:val="0"/>
              <w:rPr>
                <w:sz w:val="18"/>
                <w:szCs w:val="18"/>
              </w:rPr>
            </w:pPr>
          </w:p>
        </w:tc>
      </w:tr>
      <w:tr w:rsidR="000C7093" w:rsidRPr="009A1AD1" w14:paraId="57CEB51D" w14:textId="77777777" w:rsidTr="00E14383">
        <w:tc>
          <w:tcPr>
            <w:tcW w:w="4785" w:type="dxa"/>
          </w:tcPr>
          <w:p w14:paraId="66CCE360" w14:textId="1ACCD25B" w:rsidR="000C7093" w:rsidRPr="009A1AD1" w:rsidRDefault="000C7093" w:rsidP="00B62BA5">
            <w:pPr>
              <w:rPr>
                <w:sz w:val="18"/>
                <w:szCs w:val="18"/>
              </w:rPr>
            </w:pPr>
            <w:r w:rsidRPr="009A1AD1">
              <w:rPr>
                <w:sz w:val="18"/>
                <w:szCs w:val="18"/>
              </w:rPr>
              <w:t>Текущее состояние рынка ПФИ</w:t>
            </w:r>
          </w:p>
        </w:tc>
        <w:tc>
          <w:tcPr>
            <w:tcW w:w="4962" w:type="dxa"/>
          </w:tcPr>
          <w:p w14:paraId="5D3BBD01" w14:textId="77777777" w:rsidR="000C7093" w:rsidRPr="009A1AD1" w:rsidRDefault="000C7093" w:rsidP="00B62BA5">
            <w:pPr>
              <w:autoSpaceDE w:val="0"/>
              <w:autoSpaceDN w:val="0"/>
              <w:adjustRightInd w:val="0"/>
              <w:rPr>
                <w:sz w:val="18"/>
                <w:szCs w:val="18"/>
              </w:rPr>
            </w:pPr>
          </w:p>
        </w:tc>
      </w:tr>
      <w:tr w:rsidR="000C7093" w:rsidRPr="009A1AD1" w14:paraId="348621D3" w14:textId="77777777" w:rsidTr="00E14383">
        <w:tc>
          <w:tcPr>
            <w:tcW w:w="4785" w:type="dxa"/>
          </w:tcPr>
          <w:p w14:paraId="198A8F52" w14:textId="0B248371" w:rsidR="000C7093" w:rsidRPr="009A1AD1" w:rsidRDefault="000C7093" w:rsidP="00B62BA5">
            <w:pPr>
              <w:autoSpaceDE w:val="0"/>
              <w:autoSpaceDN w:val="0"/>
              <w:adjustRightInd w:val="0"/>
              <w:rPr>
                <w:sz w:val="18"/>
                <w:szCs w:val="18"/>
              </w:rPr>
            </w:pPr>
            <w:r w:rsidRPr="009A1AD1">
              <w:rPr>
                <w:sz w:val="18"/>
                <w:szCs w:val="18"/>
              </w:rPr>
              <w:t>Анализ факторов, свидетельствующих об</w:t>
            </w:r>
            <w:r w:rsidR="00D6601E">
              <w:rPr>
                <w:sz w:val="18"/>
                <w:szCs w:val="18"/>
              </w:rPr>
              <w:t xml:space="preserve"> </w:t>
            </w:r>
            <w:r w:rsidRPr="009A1AD1">
              <w:rPr>
                <w:sz w:val="18"/>
                <w:szCs w:val="18"/>
              </w:rPr>
              <w:t>отсутствии активного рынка</w:t>
            </w:r>
          </w:p>
        </w:tc>
        <w:tc>
          <w:tcPr>
            <w:tcW w:w="4962" w:type="dxa"/>
          </w:tcPr>
          <w:p w14:paraId="73A8F9DA" w14:textId="77777777" w:rsidR="000C7093" w:rsidRPr="009A1AD1" w:rsidRDefault="000C7093" w:rsidP="00B62BA5">
            <w:pPr>
              <w:autoSpaceDE w:val="0"/>
              <w:autoSpaceDN w:val="0"/>
              <w:adjustRightInd w:val="0"/>
              <w:rPr>
                <w:sz w:val="18"/>
                <w:szCs w:val="18"/>
              </w:rPr>
            </w:pPr>
          </w:p>
        </w:tc>
      </w:tr>
      <w:tr w:rsidR="000C7093" w:rsidRPr="009A1AD1" w14:paraId="3D64553A" w14:textId="77777777" w:rsidTr="00E14383">
        <w:tc>
          <w:tcPr>
            <w:tcW w:w="4785" w:type="dxa"/>
          </w:tcPr>
          <w:p w14:paraId="18CC586C" w14:textId="77777777" w:rsidR="000C7093" w:rsidRPr="009A1AD1" w:rsidRDefault="000C7093" w:rsidP="00B62BA5">
            <w:pPr>
              <w:autoSpaceDE w:val="0"/>
              <w:autoSpaceDN w:val="0"/>
              <w:adjustRightInd w:val="0"/>
              <w:rPr>
                <w:sz w:val="18"/>
                <w:szCs w:val="18"/>
              </w:rPr>
            </w:pPr>
            <w:r w:rsidRPr="009A1AD1">
              <w:rPr>
                <w:sz w:val="18"/>
                <w:szCs w:val="18"/>
              </w:rPr>
              <w:t>Оценка уровня исходных данных</w:t>
            </w:r>
          </w:p>
        </w:tc>
        <w:tc>
          <w:tcPr>
            <w:tcW w:w="4962" w:type="dxa"/>
          </w:tcPr>
          <w:p w14:paraId="7268E69F" w14:textId="77777777" w:rsidR="000C7093" w:rsidRPr="009A1AD1" w:rsidRDefault="000C7093" w:rsidP="00B62BA5">
            <w:pPr>
              <w:autoSpaceDE w:val="0"/>
              <w:autoSpaceDN w:val="0"/>
              <w:adjustRightInd w:val="0"/>
              <w:rPr>
                <w:sz w:val="18"/>
                <w:szCs w:val="18"/>
              </w:rPr>
            </w:pPr>
          </w:p>
        </w:tc>
      </w:tr>
      <w:tr w:rsidR="000C7093" w:rsidRPr="009A1AD1" w14:paraId="218FF5D3" w14:textId="77777777" w:rsidTr="00E14383">
        <w:tc>
          <w:tcPr>
            <w:tcW w:w="4785" w:type="dxa"/>
          </w:tcPr>
          <w:p w14:paraId="55826144" w14:textId="6A8C0C7E" w:rsidR="000C7093" w:rsidRPr="009A1AD1" w:rsidRDefault="000C7093" w:rsidP="00B62BA5">
            <w:pPr>
              <w:autoSpaceDE w:val="0"/>
              <w:autoSpaceDN w:val="0"/>
              <w:adjustRightInd w:val="0"/>
              <w:rPr>
                <w:sz w:val="18"/>
                <w:szCs w:val="18"/>
              </w:rPr>
            </w:pPr>
            <w:r w:rsidRPr="009A1AD1">
              <w:rPr>
                <w:sz w:val="18"/>
                <w:szCs w:val="18"/>
              </w:rPr>
              <w:t>Метод оценки справедливой стоимости</w:t>
            </w:r>
            <w:r w:rsidR="00D6601E">
              <w:rPr>
                <w:sz w:val="18"/>
                <w:szCs w:val="18"/>
              </w:rPr>
              <w:t xml:space="preserve"> </w:t>
            </w:r>
            <w:r w:rsidRPr="009A1AD1">
              <w:rPr>
                <w:sz w:val="18"/>
                <w:szCs w:val="18"/>
              </w:rPr>
              <w:t>ПФИ</w:t>
            </w:r>
          </w:p>
        </w:tc>
        <w:tc>
          <w:tcPr>
            <w:tcW w:w="4962" w:type="dxa"/>
          </w:tcPr>
          <w:p w14:paraId="05DA44D9" w14:textId="77777777" w:rsidR="000C7093" w:rsidRPr="009A1AD1" w:rsidRDefault="000C7093" w:rsidP="00B62BA5">
            <w:pPr>
              <w:autoSpaceDE w:val="0"/>
              <w:autoSpaceDN w:val="0"/>
              <w:adjustRightInd w:val="0"/>
              <w:rPr>
                <w:sz w:val="18"/>
                <w:szCs w:val="18"/>
              </w:rPr>
            </w:pPr>
          </w:p>
        </w:tc>
      </w:tr>
      <w:tr w:rsidR="000C7093" w:rsidRPr="009A1AD1" w14:paraId="0A935AE6" w14:textId="77777777" w:rsidTr="00E14383">
        <w:tc>
          <w:tcPr>
            <w:tcW w:w="4785" w:type="dxa"/>
          </w:tcPr>
          <w:p w14:paraId="2AD673F3" w14:textId="77777777" w:rsidR="000C7093" w:rsidRPr="009A1AD1" w:rsidRDefault="000C7093" w:rsidP="00B62BA5">
            <w:pPr>
              <w:autoSpaceDE w:val="0"/>
              <w:autoSpaceDN w:val="0"/>
              <w:adjustRightInd w:val="0"/>
              <w:rPr>
                <w:sz w:val="18"/>
                <w:szCs w:val="18"/>
              </w:rPr>
            </w:pPr>
            <w:r w:rsidRPr="009A1AD1">
              <w:rPr>
                <w:sz w:val="18"/>
                <w:szCs w:val="18"/>
              </w:rPr>
              <w:t>Корректировочный коэффициент</w:t>
            </w:r>
          </w:p>
        </w:tc>
        <w:tc>
          <w:tcPr>
            <w:tcW w:w="4962" w:type="dxa"/>
          </w:tcPr>
          <w:p w14:paraId="002AF205" w14:textId="77777777" w:rsidR="000C7093" w:rsidRPr="009A1AD1" w:rsidRDefault="000C7093" w:rsidP="00B62BA5">
            <w:pPr>
              <w:autoSpaceDE w:val="0"/>
              <w:autoSpaceDN w:val="0"/>
              <w:adjustRightInd w:val="0"/>
              <w:rPr>
                <w:sz w:val="18"/>
                <w:szCs w:val="18"/>
              </w:rPr>
            </w:pPr>
          </w:p>
        </w:tc>
      </w:tr>
      <w:tr w:rsidR="000C7093" w:rsidRPr="009A1AD1" w14:paraId="36F743F1" w14:textId="77777777" w:rsidTr="00E14383">
        <w:tc>
          <w:tcPr>
            <w:tcW w:w="4785" w:type="dxa"/>
          </w:tcPr>
          <w:p w14:paraId="3890FDA3" w14:textId="56CFC787" w:rsidR="000C7093" w:rsidRPr="009A1AD1" w:rsidRDefault="000C7093" w:rsidP="00B62BA5">
            <w:pPr>
              <w:autoSpaceDE w:val="0"/>
              <w:autoSpaceDN w:val="0"/>
              <w:adjustRightInd w:val="0"/>
              <w:rPr>
                <w:sz w:val="18"/>
                <w:szCs w:val="18"/>
              </w:rPr>
            </w:pPr>
            <w:r w:rsidRPr="009A1AD1">
              <w:rPr>
                <w:sz w:val="18"/>
                <w:szCs w:val="18"/>
              </w:rPr>
              <w:t>Корректировка величины справедливой</w:t>
            </w:r>
            <w:r w:rsidR="00D6601E">
              <w:rPr>
                <w:sz w:val="18"/>
                <w:szCs w:val="18"/>
              </w:rPr>
              <w:t xml:space="preserve"> </w:t>
            </w:r>
            <w:r w:rsidRPr="009A1AD1">
              <w:rPr>
                <w:sz w:val="18"/>
                <w:szCs w:val="18"/>
              </w:rPr>
              <w:t>стоимости с учетом дополнительного оценочного снижения, обусловленного использованием данных, отличных от исходных данных Уровня 1</w:t>
            </w:r>
          </w:p>
        </w:tc>
        <w:tc>
          <w:tcPr>
            <w:tcW w:w="4962" w:type="dxa"/>
          </w:tcPr>
          <w:p w14:paraId="2D5F2ABC" w14:textId="77777777" w:rsidR="000C7093" w:rsidRPr="009A1AD1" w:rsidRDefault="000C7093" w:rsidP="00B62BA5">
            <w:pPr>
              <w:autoSpaceDE w:val="0"/>
              <w:autoSpaceDN w:val="0"/>
              <w:adjustRightInd w:val="0"/>
              <w:rPr>
                <w:sz w:val="18"/>
                <w:szCs w:val="18"/>
              </w:rPr>
            </w:pPr>
          </w:p>
        </w:tc>
      </w:tr>
      <w:tr w:rsidR="000C7093" w:rsidRPr="009A1AD1" w14:paraId="798470ED" w14:textId="77777777" w:rsidTr="00E14383">
        <w:tc>
          <w:tcPr>
            <w:tcW w:w="4785" w:type="dxa"/>
          </w:tcPr>
          <w:p w14:paraId="46F63FA1" w14:textId="77777777" w:rsidR="000C7093" w:rsidRPr="009A1AD1" w:rsidRDefault="000C7093" w:rsidP="00B62BA5">
            <w:pPr>
              <w:rPr>
                <w:sz w:val="18"/>
                <w:szCs w:val="18"/>
              </w:rPr>
            </w:pPr>
            <w:r w:rsidRPr="009A1AD1">
              <w:rPr>
                <w:sz w:val="18"/>
                <w:szCs w:val="18"/>
              </w:rPr>
              <w:t>Описание сопоставимых ПФИ оцениваемому ПФИ</w:t>
            </w:r>
          </w:p>
        </w:tc>
        <w:tc>
          <w:tcPr>
            <w:tcW w:w="4962" w:type="dxa"/>
          </w:tcPr>
          <w:p w14:paraId="6FF3DD79" w14:textId="77777777" w:rsidR="000C7093" w:rsidRPr="009A1AD1" w:rsidRDefault="000C7093" w:rsidP="00B62BA5">
            <w:pPr>
              <w:autoSpaceDE w:val="0"/>
              <w:autoSpaceDN w:val="0"/>
              <w:adjustRightInd w:val="0"/>
              <w:rPr>
                <w:sz w:val="18"/>
                <w:szCs w:val="18"/>
              </w:rPr>
            </w:pPr>
          </w:p>
        </w:tc>
      </w:tr>
      <w:tr w:rsidR="000C7093" w:rsidRPr="009A1AD1" w14:paraId="663D5AE2" w14:textId="77777777" w:rsidTr="00E14383">
        <w:tc>
          <w:tcPr>
            <w:tcW w:w="4785" w:type="dxa"/>
          </w:tcPr>
          <w:p w14:paraId="68ED2B9B" w14:textId="77777777" w:rsidR="000C7093" w:rsidRPr="009A1AD1" w:rsidRDefault="000C7093" w:rsidP="00B62BA5">
            <w:pPr>
              <w:rPr>
                <w:sz w:val="18"/>
                <w:szCs w:val="18"/>
              </w:rPr>
            </w:pPr>
            <w:r w:rsidRPr="009A1AD1">
              <w:rPr>
                <w:sz w:val="18"/>
                <w:szCs w:val="18"/>
              </w:rPr>
              <w:t>Расчет/определение справедливой стоимости некотируемых ПФИ с использованием сопоставимых ПФИ</w:t>
            </w:r>
          </w:p>
        </w:tc>
        <w:tc>
          <w:tcPr>
            <w:tcW w:w="4962" w:type="dxa"/>
          </w:tcPr>
          <w:p w14:paraId="6DAECEB8" w14:textId="77777777" w:rsidR="000C7093" w:rsidRPr="009A1AD1" w:rsidRDefault="000C7093" w:rsidP="00B62BA5">
            <w:pPr>
              <w:autoSpaceDE w:val="0"/>
              <w:autoSpaceDN w:val="0"/>
              <w:adjustRightInd w:val="0"/>
              <w:rPr>
                <w:sz w:val="18"/>
                <w:szCs w:val="18"/>
              </w:rPr>
            </w:pPr>
          </w:p>
        </w:tc>
      </w:tr>
      <w:tr w:rsidR="000C7093" w:rsidRPr="009A1AD1" w14:paraId="37148529" w14:textId="77777777" w:rsidTr="00E14383">
        <w:tc>
          <w:tcPr>
            <w:tcW w:w="4785" w:type="dxa"/>
          </w:tcPr>
          <w:p w14:paraId="249775B4" w14:textId="4E28E43B" w:rsidR="000C7093" w:rsidRPr="009A1AD1" w:rsidRDefault="000C7093" w:rsidP="00B62BA5">
            <w:pPr>
              <w:autoSpaceDE w:val="0"/>
              <w:autoSpaceDN w:val="0"/>
              <w:adjustRightInd w:val="0"/>
              <w:rPr>
                <w:sz w:val="18"/>
                <w:szCs w:val="18"/>
              </w:rPr>
            </w:pPr>
            <w:r w:rsidRPr="009A1AD1">
              <w:rPr>
                <w:sz w:val="18"/>
                <w:szCs w:val="18"/>
              </w:rPr>
              <w:t>Определенная справедливая стоимость</w:t>
            </w:r>
            <w:r w:rsidR="00D6601E">
              <w:rPr>
                <w:sz w:val="18"/>
                <w:szCs w:val="18"/>
              </w:rPr>
              <w:t xml:space="preserve"> </w:t>
            </w:r>
            <w:r w:rsidRPr="009A1AD1">
              <w:rPr>
                <w:sz w:val="18"/>
                <w:szCs w:val="18"/>
              </w:rPr>
              <w:t>ПФИ</w:t>
            </w:r>
          </w:p>
        </w:tc>
        <w:tc>
          <w:tcPr>
            <w:tcW w:w="4962" w:type="dxa"/>
          </w:tcPr>
          <w:p w14:paraId="618B464B" w14:textId="77777777" w:rsidR="000C7093" w:rsidRPr="009A1AD1" w:rsidRDefault="000C7093" w:rsidP="00B62BA5">
            <w:pPr>
              <w:autoSpaceDE w:val="0"/>
              <w:autoSpaceDN w:val="0"/>
              <w:adjustRightInd w:val="0"/>
              <w:rPr>
                <w:sz w:val="18"/>
                <w:szCs w:val="18"/>
              </w:rPr>
            </w:pPr>
          </w:p>
        </w:tc>
      </w:tr>
    </w:tbl>
    <w:p w14:paraId="29454E89" w14:textId="77777777" w:rsidR="000C7093" w:rsidRDefault="000C7093" w:rsidP="00B62BA5">
      <w:pPr>
        <w:autoSpaceDE w:val="0"/>
        <w:autoSpaceDN w:val="0"/>
        <w:adjustRightInd w:val="0"/>
        <w:rPr>
          <w:rFonts w:ascii="Times New Roman" w:hAnsi="Times New Roman" w:cs="Times New Roman"/>
        </w:rPr>
      </w:pPr>
    </w:p>
    <w:p w14:paraId="62E2B309" w14:textId="77777777" w:rsidR="000C7093" w:rsidRDefault="000C7093" w:rsidP="00B62BA5">
      <w:pPr>
        <w:autoSpaceDE w:val="0"/>
        <w:autoSpaceDN w:val="0"/>
        <w:adjustRightInd w:val="0"/>
        <w:rPr>
          <w:rFonts w:ascii="Times New Roman" w:hAnsi="Times New Roman" w:cs="Times New Roman"/>
        </w:rPr>
      </w:pPr>
    </w:p>
    <w:p w14:paraId="2DFB553C" w14:textId="77777777" w:rsidR="000C7093" w:rsidRDefault="000C7093" w:rsidP="00B62BA5">
      <w:pPr>
        <w:autoSpaceDE w:val="0"/>
        <w:autoSpaceDN w:val="0"/>
        <w:adjustRightInd w:val="0"/>
        <w:rPr>
          <w:rFonts w:ascii="Times New Roman" w:hAnsi="Times New Roman" w:cs="Times New Roman"/>
        </w:rPr>
      </w:pPr>
    </w:p>
    <w:p w14:paraId="1E01A708" w14:textId="77777777" w:rsidR="000C7093" w:rsidRDefault="000C7093" w:rsidP="00B62BA5">
      <w:pPr>
        <w:autoSpaceDE w:val="0"/>
        <w:autoSpaceDN w:val="0"/>
        <w:adjustRightInd w:val="0"/>
        <w:rPr>
          <w:rFonts w:ascii="Times New Roman" w:hAnsi="Times New Roman" w:cs="Times New Roman"/>
        </w:rPr>
      </w:pPr>
    </w:p>
    <w:p w14:paraId="40719547" w14:textId="56C2C8AA" w:rsidR="000C7093" w:rsidRDefault="00D6601E" w:rsidP="00B62BA5">
      <w:pPr>
        <w:rPr>
          <w:rFonts w:ascii="Times New Roman" w:hAnsi="Times New Roman" w:cs="Times New Roman"/>
        </w:rPr>
      </w:pPr>
      <w:r>
        <w:rPr>
          <w:rFonts w:ascii="Times New Roman" w:hAnsi="Times New Roman" w:cs="Times New Roman"/>
        </w:rPr>
        <w:t>Должность</w:t>
      </w:r>
      <w:r w:rsidR="000C7093" w:rsidRPr="00F17F94">
        <w:rPr>
          <w:rFonts w:ascii="Times New Roman" w:hAnsi="Times New Roman" w:cs="Times New Roman"/>
        </w:rPr>
        <w:t xml:space="preserve"> сотрудника </w:t>
      </w:r>
      <w:r w:rsidR="000C7093">
        <w:rPr>
          <w:rFonts w:ascii="Times New Roman" w:hAnsi="Times New Roman" w:cs="Times New Roman"/>
        </w:rPr>
        <w:t>Управления ценных бумаг/</w:t>
      </w:r>
    </w:p>
    <w:p w14:paraId="6078A78C" w14:textId="77777777" w:rsidR="000C7093" w:rsidRDefault="000C7093" w:rsidP="00B62BA5">
      <w:pPr>
        <w:rPr>
          <w:rFonts w:ascii="Times New Roman" w:hAnsi="Times New Roman" w:cs="Times New Roman"/>
        </w:rPr>
      </w:pPr>
      <w:r>
        <w:rPr>
          <w:rFonts w:ascii="Times New Roman" w:hAnsi="Times New Roman" w:cs="Times New Roman"/>
        </w:rPr>
        <w:t>Управления дилинга и МБК                                                ___________________</w:t>
      </w:r>
    </w:p>
    <w:p w14:paraId="0FC08F23" w14:textId="77777777" w:rsidR="000C7093" w:rsidRDefault="000C7093" w:rsidP="00B62BA5">
      <w:pPr>
        <w:rPr>
          <w:rFonts w:ascii="Times New Roman" w:hAnsi="Times New Roman" w:cs="Times New Roman"/>
        </w:rPr>
      </w:pPr>
    </w:p>
    <w:p w14:paraId="693FED0E" w14:textId="77777777" w:rsidR="000C7093" w:rsidRDefault="000C7093" w:rsidP="00B62BA5">
      <w:pPr>
        <w:rPr>
          <w:rFonts w:ascii="Times New Roman" w:hAnsi="Times New Roman" w:cs="Times New Roman"/>
        </w:rPr>
      </w:pPr>
    </w:p>
    <w:p w14:paraId="54762CE4" w14:textId="77777777" w:rsidR="000C7093" w:rsidRDefault="000C7093" w:rsidP="00B62BA5">
      <w:pPr>
        <w:rPr>
          <w:rFonts w:ascii="Times New Roman" w:hAnsi="Times New Roman" w:cs="Times New Roman"/>
        </w:rPr>
      </w:pPr>
    </w:p>
    <w:p w14:paraId="54A51BDD" w14:textId="65B84EBE" w:rsidR="000C7093" w:rsidRPr="00F17F94" w:rsidRDefault="00D6601E" w:rsidP="00B62BA5">
      <w:pPr>
        <w:rPr>
          <w:rFonts w:ascii="Times New Roman" w:hAnsi="Times New Roman" w:cs="Times New Roman"/>
        </w:rPr>
      </w:pPr>
      <w:r>
        <w:rPr>
          <w:rFonts w:ascii="Times New Roman" w:hAnsi="Times New Roman" w:cs="Times New Roman"/>
        </w:rPr>
        <w:t>Должность</w:t>
      </w:r>
      <w:r w:rsidR="000C7093">
        <w:rPr>
          <w:rFonts w:ascii="Times New Roman" w:hAnsi="Times New Roman" w:cs="Times New Roman"/>
        </w:rPr>
        <w:t xml:space="preserve"> сотрудника Управления контроля рисков             ___________________</w:t>
      </w:r>
    </w:p>
    <w:p w14:paraId="0E3236FA" w14:textId="77777777" w:rsidR="000C7093" w:rsidRPr="006C5176" w:rsidRDefault="000C7093" w:rsidP="00B62BA5">
      <w:pPr>
        <w:pStyle w:val="Default"/>
        <w:rPr>
          <w:rFonts w:ascii="Times New Roman" w:hAnsi="Times New Roman" w:cs="Times New Roman"/>
          <w:color w:val="auto"/>
          <w:sz w:val="20"/>
          <w:szCs w:val="20"/>
        </w:rPr>
      </w:pPr>
    </w:p>
    <w:sectPr w:rsidR="000C7093" w:rsidRPr="006C5176" w:rsidSect="00973F07">
      <w:type w:val="continuous"/>
      <w:pgSz w:w="11909" w:h="16840"/>
      <w:pgMar w:top="567" w:right="567" w:bottom="567" w:left="1134" w:header="0" w:footer="6"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C58C" w14:textId="77777777" w:rsidR="0044033D" w:rsidRDefault="0044033D" w:rsidP="000324FD">
      <w:r>
        <w:separator/>
      </w:r>
    </w:p>
  </w:endnote>
  <w:endnote w:type="continuationSeparator" w:id="0">
    <w:p w14:paraId="7C297F06" w14:textId="77777777" w:rsidR="0044033D" w:rsidRDefault="0044033D" w:rsidP="0003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rdiaUPC">
    <w:charset w:val="00"/>
    <w:family w:val="swiss"/>
    <w:pitch w:val="variable"/>
    <w:sig w:usb0="81000003" w:usb1="00000000" w:usb2="00000000" w:usb3="00000000" w:csb0="0001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IDFont+F4">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005E" w14:textId="77777777" w:rsidR="0044033D" w:rsidRDefault="0044033D"/>
  </w:footnote>
  <w:footnote w:type="continuationSeparator" w:id="0">
    <w:p w14:paraId="5F57AF02" w14:textId="77777777" w:rsidR="0044033D" w:rsidRDefault="004403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F30"/>
    <w:multiLevelType w:val="multilevel"/>
    <w:tmpl w:val="51F0FE6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C93036"/>
    <w:multiLevelType w:val="hybridMultilevel"/>
    <w:tmpl w:val="AAE45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AD77D3"/>
    <w:multiLevelType w:val="hybridMultilevel"/>
    <w:tmpl w:val="6DF2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AF0D6A"/>
    <w:multiLevelType w:val="hybridMultilevel"/>
    <w:tmpl w:val="2D42CAF0"/>
    <w:lvl w:ilvl="0" w:tplc="D9CAAA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3F8C290A"/>
    <w:multiLevelType w:val="multilevel"/>
    <w:tmpl w:val="B12A11B8"/>
    <w:lvl w:ilvl="0">
      <w:start w:val="1"/>
      <w:numFmt w:val="bullet"/>
      <w:lvlText w:val="u"/>
      <w:lvlJc w:val="left"/>
      <w:pPr>
        <w:ind w:left="360" w:hanging="360"/>
      </w:pPr>
      <w:rPr>
        <w:rFonts w:ascii="Wingdings" w:hAnsi="Wingding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9B071E2"/>
    <w:multiLevelType w:val="multilevel"/>
    <w:tmpl w:val="576882D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353"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94559B"/>
    <w:multiLevelType w:val="hybridMultilevel"/>
    <w:tmpl w:val="AEAC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C07327"/>
    <w:multiLevelType w:val="multilevel"/>
    <w:tmpl w:val="4C12D056"/>
    <w:lvl w:ilvl="0">
      <w:start w:val="1"/>
      <w:numFmt w:val="decimal"/>
      <w:pStyle w:val="a"/>
      <w:suff w:val="space"/>
      <w:lvlText w:val="СТАТЬЯ %1."/>
      <w:lvlJc w:val="left"/>
      <w:pPr>
        <w:ind w:left="113" w:hanging="113"/>
      </w:pPr>
      <w:rPr>
        <w:rFonts w:ascii="Times New Roman" w:hAnsi="Times New Roman" w:cs="Times New Roman" w:hint="default"/>
        <w:sz w:val="22"/>
        <w:szCs w:val="22"/>
      </w:rPr>
    </w:lvl>
    <w:lvl w:ilvl="1">
      <w:start w:val="1"/>
      <w:numFmt w:val="decimal"/>
      <w:pStyle w:val="a0"/>
      <w:suff w:val="space"/>
      <w:lvlText w:val="%1.%2."/>
      <w:lvlJc w:val="left"/>
      <w:pPr>
        <w:ind w:left="568" w:hanging="284"/>
      </w:pPr>
      <w:rPr>
        <w:rFonts w:ascii="Times New Roman" w:hAnsi="Times New Roman" w:cs="Times New Roman" w:hint="default"/>
        <w:b/>
        <w:sz w:val="22"/>
        <w:szCs w:val="22"/>
      </w:rPr>
    </w:lvl>
    <w:lvl w:ilvl="2">
      <w:start w:val="1"/>
      <w:numFmt w:val="decimal"/>
      <w:pStyle w:val="a1"/>
      <w:suff w:val="space"/>
      <w:lvlText w:val="%1.%2.%3."/>
      <w:lvlJc w:val="left"/>
      <w:pPr>
        <w:ind w:left="851" w:hanging="567"/>
      </w:pPr>
      <w:rPr>
        <w:rFonts w:ascii="Times New Roman" w:eastAsia="Times New Roman" w:hAnsi="Times New Roman" w:cs="Times New Roman" w:hint="default"/>
        <w:b w:val="0"/>
        <w:i w:val="0"/>
        <w:sz w:val="22"/>
        <w:szCs w:val="22"/>
        <w:lang w:val="ru-RU"/>
      </w:rPr>
    </w:lvl>
    <w:lvl w:ilvl="3">
      <w:start w:val="1"/>
      <w:numFmt w:val="decimal"/>
      <w:pStyle w:val="a2"/>
      <w:suff w:val="space"/>
      <w:lvlText w:val="%1.%2.%3.%4."/>
      <w:lvlJc w:val="left"/>
      <w:pPr>
        <w:ind w:left="1163" w:hanging="737"/>
      </w:pPr>
      <w:rPr>
        <w:rFonts w:ascii="Times New Roman" w:eastAsia="Times New Roman" w:hAnsi="Times New Roman" w:cs="Times New Roman" w:hint="default"/>
        <w:b w:val="0"/>
        <w:i w:val="0"/>
        <w:sz w:val="22"/>
        <w:szCs w:val="20"/>
      </w:rPr>
    </w:lvl>
    <w:lvl w:ilvl="4">
      <w:start w:val="1"/>
      <w:numFmt w:val="decimal"/>
      <w:lvlText w:val="%1.%2.%3.%4.%5."/>
      <w:lvlJc w:val="left"/>
      <w:pPr>
        <w:tabs>
          <w:tab w:val="num" w:pos="1080"/>
        </w:tabs>
        <w:ind w:left="1080" w:hanging="1080"/>
      </w:pPr>
      <w:rPr>
        <w:rFonts w:eastAsia="Times New Roman" w:hint="default"/>
        <w:b w:val="0"/>
        <w:i w:val="0"/>
        <w:color w:val="auto"/>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num w:numId="1" w16cid:durableId="1259169142">
    <w:abstractNumId w:val="7"/>
  </w:num>
  <w:num w:numId="2" w16cid:durableId="23135486">
    <w:abstractNumId w:val="3"/>
  </w:num>
  <w:num w:numId="3" w16cid:durableId="2111969995">
    <w:abstractNumId w:val="0"/>
  </w:num>
  <w:num w:numId="4" w16cid:durableId="1665740279">
    <w:abstractNumId w:val="1"/>
  </w:num>
  <w:num w:numId="5" w16cid:durableId="689644189">
    <w:abstractNumId w:val="2"/>
  </w:num>
  <w:num w:numId="6" w16cid:durableId="1364549524">
    <w:abstractNumId w:val="6"/>
  </w:num>
  <w:num w:numId="7" w16cid:durableId="898437422">
    <w:abstractNumId w:val="5"/>
  </w:num>
  <w:num w:numId="8" w16cid:durableId="52529266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FD"/>
    <w:rsid w:val="00001CD2"/>
    <w:rsid w:val="000108FE"/>
    <w:rsid w:val="00013224"/>
    <w:rsid w:val="0001794E"/>
    <w:rsid w:val="00024C4C"/>
    <w:rsid w:val="000257AF"/>
    <w:rsid w:val="000324FD"/>
    <w:rsid w:val="00032B86"/>
    <w:rsid w:val="000361BF"/>
    <w:rsid w:val="00047540"/>
    <w:rsid w:val="0005140C"/>
    <w:rsid w:val="0005402C"/>
    <w:rsid w:val="00057339"/>
    <w:rsid w:val="00062418"/>
    <w:rsid w:val="000657D7"/>
    <w:rsid w:val="00073047"/>
    <w:rsid w:val="00092C6C"/>
    <w:rsid w:val="000A1193"/>
    <w:rsid w:val="000A4267"/>
    <w:rsid w:val="000A7958"/>
    <w:rsid w:val="000B258D"/>
    <w:rsid w:val="000B5339"/>
    <w:rsid w:val="000B7DA2"/>
    <w:rsid w:val="000C077C"/>
    <w:rsid w:val="000C26B4"/>
    <w:rsid w:val="000C639C"/>
    <w:rsid w:val="000C7093"/>
    <w:rsid w:val="000D2F43"/>
    <w:rsid w:val="000D466B"/>
    <w:rsid w:val="000D61B8"/>
    <w:rsid w:val="000E29DE"/>
    <w:rsid w:val="000E494D"/>
    <w:rsid w:val="000F4A56"/>
    <w:rsid w:val="000F5F5E"/>
    <w:rsid w:val="00100773"/>
    <w:rsid w:val="00102F18"/>
    <w:rsid w:val="00110FAC"/>
    <w:rsid w:val="00124194"/>
    <w:rsid w:val="00124B2B"/>
    <w:rsid w:val="00134419"/>
    <w:rsid w:val="00140875"/>
    <w:rsid w:val="00142634"/>
    <w:rsid w:val="00142EE6"/>
    <w:rsid w:val="001449AE"/>
    <w:rsid w:val="00144F8F"/>
    <w:rsid w:val="00146D69"/>
    <w:rsid w:val="00146ECA"/>
    <w:rsid w:val="00151701"/>
    <w:rsid w:val="0016455F"/>
    <w:rsid w:val="00170691"/>
    <w:rsid w:val="00175AEF"/>
    <w:rsid w:val="001820D6"/>
    <w:rsid w:val="00184989"/>
    <w:rsid w:val="001905E4"/>
    <w:rsid w:val="00192379"/>
    <w:rsid w:val="0019519A"/>
    <w:rsid w:val="001A6417"/>
    <w:rsid w:val="001B09EB"/>
    <w:rsid w:val="001C7F29"/>
    <w:rsid w:val="001D7377"/>
    <w:rsid w:val="001E2398"/>
    <w:rsid w:val="001E4D2A"/>
    <w:rsid w:val="00200364"/>
    <w:rsid w:val="002028CB"/>
    <w:rsid w:val="00207645"/>
    <w:rsid w:val="00210755"/>
    <w:rsid w:val="00210D39"/>
    <w:rsid w:val="00211D69"/>
    <w:rsid w:val="00220041"/>
    <w:rsid w:val="0022099B"/>
    <w:rsid w:val="00221052"/>
    <w:rsid w:val="002264D6"/>
    <w:rsid w:val="00227491"/>
    <w:rsid w:val="002309F0"/>
    <w:rsid w:val="00232A08"/>
    <w:rsid w:val="002374DD"/>
    <w:rsid w:val="00245F7C"/>
    <w:rsid w:val="00247086"/>
    <w:rsid w:val="00256DDC"/>
    <w:rsid w:val="00257104"/>
    <w:rsid w:val="002632E7"/>
    <w:rsid w:val="0026482B"/>
    <w:rsid w:val="00272256"/>
    <w:rsid w:val="00272900"/>
    <w:rsid w:val="0027516E"/>
    <w:rsid w:val="00291A5A"/>
    <w:rsid w:val="00293510"/>
    <w:rsid w:val="002968A2"/>
    <w:rsid w:val="002A2310"/>
    <w:rsid w:val="002A3F83"/>
    <w:rsid w:val="002A4742"/>
    <w:rsid w:val="002B1F15"/>
    <w:rsid w:val="002B5343"/>
    <w:rsid w:val="002B7258"/>
    <w:rsid w:val="002C58F4"/>
    <w:rsid w:val="002C6ACF"/>
    <w:rsid w:val="002E0DD5"/>
    <w:rsid w:val="002E0F6E"/>
    <w:rsid w:val="002E55C3"/>
    <w:rsid w:val="002E55E4"/>
    <w:rsid w:val="002F2787"/>
    <w:rsid w:val="002F29A4"/>
    <w:rsid w:val="00312679"/>
    <w:rsid w:val="00314AEE"/>
    <w:rsid w:val="00314FC2"/>
    <w:rsid w:val="00332679"/>
    <w:rsid w:val="00335A7C"/>
    <w:rsid w:val="00341215"/>
    <w:rsid w:val="00360EC2"/>
    <w:rsid w:val="0036486B"/>
    <w:rsid w:val="00365B25"/>
    <w:rsid w:val="003663B2"/>
    <w:rsid w:val="00366E4C"/>
    <w:rsid w:val="00393C5A"/>
    <w:rsid w:val="0039533B"/>
    <w:rsid w:val="003959B2"/>
    <w:rsid w:val="003A21AD"/>
    <w:rsid w:val="003B7534"/>
    <w:rsid w:val="003D3C8C"/>
    <w:rsid w:val="003F1F47"/>
    <w:rsid w:val="003F2C5D"/>
    <w:rsid w:val="00403BAA"/>
    <w:rsid w:val="0040768F"/>
    <w:rsid w:val="00414903"/>
    <w:rsid w:val="00417690"/>
    <w:rsid w:val="00421ACE"/>
    <w:rsid w:val="00421ADA"/>
    <w:rsid w:val="00435277"/>
    <w:rsid w:val="0044033D"/>
    <w:rsid w:val="00444AB3"/>
    <w:rsid w:val="00454385"/>
    <w:rsid w:val="00464B6D"/>
    <w:rsid w:val="00465C25"/>
    <w:rsid w:val="0047419B"/>
    <w:rsid w:val="00487B19"/>
    <w:rsid w:val="00490BBA"/>
    <w:rsid w:val="0049381A"/>
    <w:rsid w:val="00496E91"/>
    <w:rsid w:val="004A0462"/>
    <w:rsid w:val="004A1F05"/>
    <w:rsid w:val="004A215B"/>
    <w:rsid w:val="004B0DF5"/>
    <w:rsid w:val="004C66E7"/>
    <w:rsid w:val="004D0EEB"/>
    <w:rsid w:val="004D1321"/>
    <w:rsid w:val="004D2229"/>
    <w:rsid w:val="004D2746"/>
    <w:rsid w:val="004E0BF4"/>
    <w:rsid w:val="004E5CE3"/>
    <w:rsid w:val="004F09A1"/>
    <w:rsid w:val="004F7582"/>
    <w:rsid w:val="00505830"/>
    <w:rsid w:val="005079F6"/>
    <w:rsid w:val="00511A35"/>
    <w:rsid w:val="00514B48"/>
    <w:rsid w:val="00515505"/>
    <w:rsid w:val="00520551"/>
    <w:rsid w:val="00526CE3"/>
    <w:rsid w:val="00527AFD"/>
    <w:rsid w:val="00533790"/>
    <w:rsid w:val="00534D38"/>
    <w:rsid w:val="0054141B"/>
    <w:rsid w:val="00547892"/>
    <w:rsid w:val="005627CF"/>
    <w:rsid w:val="00570A5D"/>
    <w:rsid w:val="00571B05"/>
    <w:rsid w:val="00573328"/>
    <w:rsid w:val="0058261C"/>
    <w:rsid w:val="00583C36"/>
    <w:rsid w:val="00596A73"/>
    <w:rsid w:val="005A10A8"/>
    <w:rsid w:val="005A5419"/>
    <w:rsid w:val="005A5ECB"/>
    <w:rsid w:val="005B7D2D"/>
    <w:rsid w:val="005C0BF0"/>
    <w:rsid w:val="005C6D0F"/>
    <w:rsid w:val="005E1D74"/>
    <w:rsid w:val="005F004B"/>
    <w:rsid w:val="005F2A19"/>
    <w:rsid w:val="00603104"/>
    <w:rsid w:val="00614AA1"/>
    <w:rsid w:val="00616A78"/>
    <w:rsid w:val="006247BD"/>
    <w:rsid w:val="006426BB"/>
    <w:rsid w:val="00654622"/>
    <w:rsid w:val="00670BF0"/>
    <w:rsid w:val="00681BD2"/>
    <w:rsid w:val="006823B7"/>
    <w:rsid w:val="00686BA0"/>
    <w:rsid w:val="00687F41"/>
    <w:rsid w:val="006A197D"/>
    <w:rsid w:val="006A58BC"/>
    <w:rsid w:val="006A5CD5"/>
    <w:rsid w:val="006A7FE0"/>
    <w:rsid w:val="006B1657"/>
    <w:rsid w:val="006B31D5"/>
    <w:rsid w:val="006B41A6"/>
    <w:rsid w:val="006B5B48"/>
    <w:rsid w:val="006B65EA"/>
    <w:rsid w:val="006B66A0"/>
    <w:rsid w:val="006C46CB"/>
    <w:rsid w:val="006C5176"/>
    <w:rsid w:val="006D0739"/>
    <w:rsid w:val="006D4D5D"/>
    <w:rsid w:val="006D69C4"/>
    <w:rsid w:val="006E0D96"/>
    <w:rsid w:val="006E3F7C"/>
    <w:rsid w:val="006E5ABF"/>
    <w:rsid w:val="006E6B70"/>
    <w:rsid w:val="006F6EBE"/>
    <w:rsid w:val="00704172"/>
    <w:rsid w:val="00711FCD"/>
    <w:rsid w:val="007132C2"/>
    <w:rsid w:val="00727695"/>
    <w:rsid w:val="00740C53"/>
    <w:rsid w:val="00745DDE"/>
    <w:rsid w:val="00750EB0"/>
    <w:rsid w:val="00753551"/>
    <w:rsid w:val="007549E4"/>
    <w:rsid w:val="00754C4E"/>
    <w:rsid w:val="007557DA"/>
    <w:rsid w:val="0075623E"/>
    <w:rsid w:val="00765FBD"/>
    <w:rsid w:val="007742C9"/>
    <w:rsid w:val="007752FA"/>
    <w:rsid w:val="0079260A"/>
    <w:rsid w:val="007A179E"/>
    <w:rsid w:val="007A43FF"/>
    <w:rsid w:val="007A5F48"/>
    <w:rsid w:val="007C71C8"/>
    <w:rsid w:val="007C7389"/>
    <w:rsid w:val="007D33AE"/>
    <w:rsid w:val="007D7F3A"/>
    <w:rsid w:val="007E186C"/>
    <w:rsid w:val="007E49D5"/>
    <w:rsid w:val="007F0C64"/>
    <w:rsid w:val="007F19FB"/>
    <w:rsid w:val="007F7632"/>
    <w:rsid w:val="00800A91"/>
    <w:rsid w:val="00805690"/>
    <w:rsid w:val="00806386"/>
    <w:rsid w:val="0082254C"/>
    <w:rsid w:val="0082382F"/>
    <w:rsid w:val="00824090"/>
    <w:rsid w:val="00824934"/>
    <w:rsid w:val="00825E2C"/>
    <w:rsid w:val="008318BD"/>
    <w:rsid w:val="00835564"/>
    <w:rsid w:val="00837BE3"/>
    <w:rsid w:val="00851E46"/>
    <w:rsid w:val="008522F6"/>
    <w:rsid w:val="00852538"/>
    <w:rsid w:val="008557E8"/>
    <w:rsid w:val="008567CA"/>
    <w:rsid w:val="00857B7A"/>
    <w:rsid w:val="008630DB"/>
    <w:rsid w:val="00865E99"/>
    <w:rsid w:val="00866C92"/>
    <w:rsid w:val="00876252"/>
    <w:rsid w:val="00876530"/>
    <w:rsid w:val="00880F0E"/>
    <w:rsid w:val="00881847"/>
    <w:rsid w:val="008871E0"/>
    <w:rsid w:val="0089193A"/>
    <w:rsid w:val="00896555"/>
    <w:rsid w:val="008972C3"/>
    <w:rsid w:val="008A5D7F"/>
    <w:rsid w:val="008B546C"/>
    <w:rsid w:val="008C38B3"/>
    <w:rsid w:val="008C5311"/>
    <w:rsid w:val="008C5FCE"/>
    <w:rsid w:val="008C6DF8"/>
    <w:rsid w:val="008D1374"/>
    <w:rsid w:val="008E671A"/>
    <w:rsid w:val="00903FF0"/>
    <w:rsid w:val="009041F1"/>
    <w:rsid w:val="00904499"/>
    <w:rsid w:val="00906206"/>
    <w:rsid w:val="009101FA"/>
    <w:rsid w:val="009218B5"/>
    <w:rsid w:val="00924B98"/>
    <w:rsid w:val="00926B24"/>
    <w:rsid w:val="00942CD3"/>
    <w:rsid w:val="00944318"/>
    <w:rsid w:val="009571C2"/>
    <w:rsid w:val="0096001D"/>
    <w:rsid w:val="00963B5D"/>
    <w:rsid w:val="00971B79"/>
    <w:rsid w:val="00972D5D"/>
    <w:rsid w:val="00973F07"/>
    <w:rsid w:val="00974B8E"/>
    <w:rsid w:val="00975C8C"/>
    <w:rsid w:val="00986D28"/>
    <w:rsid w:val="00993CD1"/>
    <w:rsid w:val="009A1AD1"/>
    <w:rsid w:val="009C4D8B"/>
    <w:rsid w:val="009C50F7"/>
    <w:rsid w:val="009D3BF2"/>
    <w:rsid w:val="009D77DA"/>
    <w:rsid w:val="009E1C96"/>
    <w:rsid w:val="009E326F"/>
    <w:rsid w:val="009E3B7D"/>
    <w:rsid w:val="009E7A5C"/>
    <w:rsid w:val="009F058E"/>
    <w:rsid w:val="009F2AAF"/>
    <w:rsid w:val="009F3998"/>
    <w:rsid w:val="00A00175"/>
    <w:rsid w:val="00A00863"/>
    <w:rsid w:val="00A07638"/>
    <w:rsid w:val="00A15340"/>
    <w:rsid w:val="00A1790D"/>
    <w:rsid w:val="00A20B45"/>
    <w:rsid w:val="00A24383"/>
    <w:rsid w:val="00A436B3"/>
    <w:rsid w:val="00A47C58"/>
    <w:rsid w:val="00A54A9C"/>
    <w:rsid w:val="00A56B7D"/>
    <w:rsid w:val="00A659B3"/>
    <w:rsid w:val="00A65F9E"/>
    <w:rsid w:val="00A66C64"/>
    <w:rsid w:val="00A672B6"/>
    <w:rsid w:val="00A768C8"/>
    <w:rsid w:val="00A77030"/>
    <w:rsid w:val="00A801B7"/>
    <w:rsid w:val="00A8050E"/>
    <w:rsid w:val="00A80E09"/>
    <w:rsid w:val="00A8101C"/>
    <w:rsid w:val="00A815BD"/>
    <w:rsid w:val="00A817F0"/>
    <w:rsid w:val="00A9038B"/>
    <w:rsid w:val="00A95C42"/>
    <w:rsid w:val="00AA08FA"/>
    <w:rsid w:val="00AA2326"/>
    <w:rsid w:val="00AA4D5D"/>
    <w:rsid w:val="00AB0490"/>
    <w:rsid w:val="00AC2993"/>
    <w:rsid w:val="00AD145A"/>
    <w:rsid w:val="00AD1D54"/>
    <w:rsid w:val="00AD2B5D"/>
    <w:rsid w:val="00AE0B26"/>
    <w:rsid w:val="00AE0C93"/>
    <w:rsid w:val="00AE28D0"/>
    <w:rsid w:val="00AF2507"/>
    <w:rsid w:val="00AF3531"/>
    <w:rsid w:val="00B02381"/>
    <w:rsid w:val="00B03123"/>
    <w:rsid w:val="00B13A88"/>
    <w:rsid w:val="00B162AF"/>
    <w:rsid w:val="00B23F01"/>
    <w:rsid w:val="00B32B03"/>
    <w:rsid w:val="00B37539"/>
    <w:rsid w:val="00B43F0A"/>
    <w:rsid w:val="00B46781"/>
    <w:rsid w:val="00B51C9B"/>
    <w:rsid w:val="00B60956"/>
    <w:rsid w:val="00B62BA5"/>
    <w:rsid w:val="00B729BF"/>
    <w:rsid w:val="00BA0CAC"/>
    <w:rsid w:val="00BB1E15"/>
    <w:rsid w:val="00BC103F"/>
    <w:rsid w:val="00BC7994"/>
    <w:rsid w:val="00BD0B23"/>
    <w:rsid w:val="00BD10AE"/>
    <w:rsid w:val="00BE1371"/>
    <w:rsid w:val="00BE7A9D"/>
    <w:rsid w:val="00C149D5"/>
    <w:rsid w:val="00C173F7"/>
    <w:rsid w:val="00C179A9"/>
    <w:rsid w:val="00C213FC"/>
    <w:rsid w:val="00C24EAB"/>
    <w:rsid w:val="00C2763F"/>
    <w:rsid w:val="00C3147F"/>
    <w:rsid w:val="00C3261D"/>
    <w:rsid w:val="00C5427E"/>
    <w:rsid w:val="00C60396"/>
    <w:rsid w:val="00C75487"/>
    <w:rsid w:val="00C75951"/>
    <w:rsid w:val="00C77AC3"/>
    <w:rsid w:val="00C80411"/>
    <w:rsid w:val="00C82281"/>
    <w:rsid w:val="00C82E35"/>
    <w:rsid w:val="00C83305"/>
    <w:rsid w:val="00C83E22"/>
    <w:rsid w:val="00C85FA1"/>
    <w:rsid w:val="00C90206"/>
    <w:rsid w:val="00C94812"/>
    <w:rsid w:val="00CA58E2"/>
    <w:rsid w:val="00CB02A2"/>
    <w:rsid w:val="00CB30BE"/>
    <w:rsid w:val="00CB4A4A"/>
    <w:rsid w:val="00CB7062"/>
    <w:rsid w:val="00CC105B"/>
    <w:rsid w:val="00CE0608"/>
    <w:rsid w:val="00CE5961"/>
    <w:rsid w:val="00CF2064"/>
    <w:rsid w:val="00CF3477"/>
    <w:rsid w:val="00D06209"/>
    <w:rsid w:val="00D06E91"/>
    <w:rsid w:val="00D0779A"/>
    <w:rsid w:val="00D10394"/>
    <w:rsid w:val="00D458C2"/>
    <w:rsid w:val="00D54992"/>
    <w:rsid w:val="00D6601E"/>
    <w:rsid w:val="00D75A4D"/>
    <w:rsid w:val="00D75F46"/>
    <w:rsid w:val="00D7627F"/>
    <w:rsid w:val="00D76FF6"/>
    <w:rsid w:val="00D834A7"/>
    <w:rsid w:val="00D85AC6"/>
    <w:rsid w:val="00D877EF"/>
    <w:rsid w:val="00D90635"/>
    <w:rsid w:val="00D93564"/>
    <w:rsid w:val="00D9395D"/>
    <w:rsid w:val="00D949A7"/>
    <w:rsid w:val="00DA65FD"/>
    <w:rsid w:val="00DA7423"/>
    <w:rsid w:val="00DA755A"/>
    <w:rsid w:val="00DB0B47"/>
    <w:rsid w:val="00DB0DD9"/>
    <w:rsid w:val="00DB0F5E"/>
    <w:rsid w:val="00DB1ACB"/>
    <w:rsid w:val="00DD56DB"/>
    <w:rsid w:val="00DD5C8C"/>
    <w:rsid w:val="00DE25D6"/>
    <w:rsid w:val="00DE40E6"/>
    <w:rsid w:val="00DE4CBD"/>
    <w:rsid w:val="00DE6E05"/>
    <w:rsid w:val="00DF05C4"/>
    <w:rsid w:val="00DF298F"/>
    <w:rsid w:val="00E02A36"/>
    <w:rsid w:val="00E07142"/>
    <w:rsid w:val="00E07284"/>
    <w:rsid w:val="00E15F4A"/>
    <w:rsid w:val="00E1706E"/>
    <w:rsid w:val="00E252F3"/>
    <w:rsid w:val="00E25FA2"/>
    <w:rsid w:val="00E33B4E"/>
    <w:rsid w:val="00E429A6"/>
    <w:rsid w:val="00E50196"/>
    <w:rsid w:val="00E50435"/>
    <w:rsid w:val="00E517D3"/>
    <w:rsid w:val="00E60F7C"/>
    <w:rsid w:val="00E61C7F"/>
    <w:rsid w:val="00E6648A"/>
    <w:rsid w:val="00E713AD"/>
    <w:rsid w:val="00E722A4"/>
    <w:rsid w:val="00E76200"/>
    <w:rsid w:val="00E84CA4"/>
    <w:rsid w:val="00E8691A"/>
    <w:rsid w:val="00E87089"/>
    <w:rsid w:val="00E95E3B"/>
    <w:rsid w:val="00EA03F8"/>
    <w:rsid w:val="00EA74AF"/>
    <w:rsid w:val="00EB4492"/>
    <w:rsid w:val="00EC072A"/>
    <w:rsid w:val="00ED0CD3"/>
    <w:rsid w:val="00ED463C"/>
    <w:rsid w:val="00ED6D16"/>
    <w:rsid w:val="00ED7C84"/>
    <w:rsid w:val="00EE1F5A"/>
    <w:rsid w:val="00EE684A"/>
    <w:rsid w:val="00EF1C94"/>
    <w:rsid w:val="00F04F94"/>
    <w:rsid w:val="00F161E3"/>
    <w:rsid w:val="00F16AD8"/>
    <w:rsid w:val="00F17517"/>
    <w:rsid w:val="00F17BD0"/>
    <w:rsid w:val="00F35F77"/>
    <w:rsid w:val="00F4183F"/>
    <w:rsid w:val="00F45FFF"/>
    <w:rsid w:val="00F4603C"/>
    <w:rsid w:val="00F57BF7"/>
    <w:rsid w:val="00F64172"/>
    <w:rsid w:val="00F649B6"/>
    <w:rsid w:val="00F70DA4"/>
    <w:rsid w:val="00F712B6"/>
    <w:rsid w:val="00F85AF9"/>
    <w:rsid w:val="00F94C89"/>
    <w:rsid w:val="00F97EF6"/>
    <w:rsid w:val="00FA0DEF"/>
    <w:rsid w:val="00FB323B"/>
    <w:rsid w:val="00FB6BC0"/>
    <w:rsid w:val="00FB7912"/>
    <w:rsid w:val="00FB7BA6"/>
    <w:rsid w:val="00FC1AB8"/>
    <w:rsid w:val="00FC41F5"/>
    <w:rsid w:val="00FC49BB"/>
    <w:rsid w:val="00FC6B8F"/>
    <w:rsid w:val="00FC7730"/>
    <w:rsid w:val="00FD7077"/>
    <w:rsid w:val="00FE1F9C"/>
    <w:rsid w:val="00FE4933"/>
    <w:rsid w:val="00FE4B64"/>
    <w:rsid w:val="00FE5B62"/>
    <w:rsid w:val="00FF14BA"/>
    <w:rsid w:val="00FF5122"/>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2D2F"/>
  <w15:docId w15:val="{D95E5C39-7048-4A8F-BCFC-698843A0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rsid w:val="000324FD"/>
    <w:rPr>
      <w:color w:val="000000"/>
    </w:rPr>
  </w:style>
  <w:style w:type="paragraph" w:styleId="1">
    <w:name w:val="heading 1"/>
    <w:basedOn w:val="a3"/>
    <w:link w:val="10"/>
    <w:uiPriority w:val="9"/>
    <w:qFormat/>
    <w:rsid w:val="00857B7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rsid w:val="000324FD"/>
    <w:rPr>
      <w:color w:val="0066CC"/>
      <w:u w:val="single"/>
    </w:rPr>
  </w:style>
  <w:style w:type="character" w:customStyle="1" w:styleId="2">
    <w:name w:val="Основной текст (2)_"/>
    <w:basedOn w:val="a4"/>
    <w:link w:val="20"/>
    <w:rsid w:val="000324FD"/>
    <w:rPr>
      <w:rFonts w:ascii="Times New Roman" w:eastAsia="Times New Roman" w:hAnsi="Times New Roman" w:cs="Times New Roman"/>
      <w:b w:val="0"/>
      <w:bCs w:val="0"/>
      <w:i w:val="0"/>
      <w:iCs w:val="0"/>
      <w:smallCaps w:val="0"/>
      <w:strike w:val="0"/>
      <w:sz w:val="17"/>
      <w:szCs w:val="17"/>
      <w:u w:val="none"/>
    </w:rPr>
  </w:style>
  <w:style w:type="character" w:customStyle="1" w:styleId="4">
    <w:name w:val="Заголовок №4_"/>
    <w:basedOn w:val="a4"/>
    <w:link w:val="40"/>
    <w:rsid w:val="000324FD"/>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4"/>
    <w:link w:val="30"/>
    <w:rsid w:val="000324FD"/>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sid w:val="000324F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1">
    <w:name w:val="Заголовок №4"/>
    <w:basedOn w:val="a4"/>
    <w:rsid w:val="000324FD"/>
    <w:rPr>
      <w:rFonts w:ascii="Times New Roman" w:eastAsia="Times New Roman" w:hAnsi="Times New Roman" w:cs="Times New Roman"/>
      <w:b/>
      <w:bCs/>
      <w:i w:val="0"/>
      <w:iCs w:val="0"/>
      <w:smallCaps w:val="0"/>
      <w:strike w:val="0"/>
      <w:sz w:val="17"/>
      <w:szCs w:val="17"/>
      <w:u w:val="none"/>
    </w:rPr>
  </w:style>
  <w:style w:type="character" w:customStyle="1" w:styleId="5">
    <w:name w:val="Основной текст (5)_"/>
    <w:basedOn w:val="a4"/>
    <w:link w:val="50"/>
    <w:rsid w:val="000324FD"/>
    <w:rPr>
      <w:rFonts w:ascii="CordiaUPC" w:eastAsia="CordiaUPC" w:hAnsi="CordiaUPC" w:cs="CordiaUPC"/>
      <w:b/>
      <w:bCs/>
      <w:i w:val="0"/>
      <w:iCs w:val="0"/>
      <w:smallCaps w:val="0"/>
      <w:strike w:val="0"/>
      <w:sz w:val="34"/>
      <w:szCs w:val="34"/>
      <w:u w:val="none"/>
    </w:rPr>
  </w:style>
  <w:style w:type="character" w:customStyle="1" w:styleId="5TimesNewRoman85pt">
    <w:name w:val="Основной текст (5) + Times New Roman;8.5 pt;Не полужирный"/>
    <w:basedOn w:val="5"/>
    <w:rsid w:val="000324F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4"/>
    <w:link w:val="60"/>
    <w:rsid w:val="000324FD"/>
    <w:rPr>
      <w:rFonts w:ascii="Courier New" w:eastAsia="Courier New" w:hAnsi="Courier New" w:cs="Courier New"/>
      <w:b w:val="0"/>
      <w:bCs w:val="0"/>
      <w:i w:val="0"/>
      <w:iCs w:val="0"/>
      <w:smallCaps w:val="0"/>
      <w:strike w:val="0"/>
      <w:sz w:val="11"/>
      <w:szCs w:val="11"/>
      <w:u w:val="none"/>
    </w:rPr>
  </w:style>
  <w:style w:type="character" w:customStyle="1" w:styleId="6MSReferenceSansSerif">
    <w:name w:val="Основной текст (6) + MS Reference Sans Serif"/>
    <w:basedOn w:val="6"/>
    <w:rsid w:val="000324FD"/>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22">
    <w:name w:val="Основной текст (2)"/>
    <w:basedOn w:val="a4"/>
    <w:rsid w:val="000324FD"/>
    <w:rPr>
      <w:rFonts w:ascii="Times New Roman" w:eastAsia="Times New Roman" w:hAnsi="Times New Roman" w:cs="Times New Roman"/>
      <w:b w:val="0"/>
      <w:bCs w:val="0"/>
      <w:i w:val="0"/>
      <w:iCs w:val="0"/>
      <w:smallCaps w:val="0"/>
      <w:strike w:val="0"/>
      <w:sz w:val="17"/>
      <w:szCs w:val="17"/>
      <w:u w:val="none"/>
    </w:rPr>
  </w:style>
  <w:style w:type="character" w:customStyle="1" w:styleId="23">
    <w:name w:val="Основной текст (2)"/>
    <w:basedOn w:val="2"/>
    <w:rsid w:val="000324F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42">
    <w:name w:val="Основной текст (4)"/>
    <w:basedOn w:val="a4"/>
    <w:rsid w:val="000324FD"/>
    <w:rPr>
      <w:rFonts w:ascii="Times New Roman" w:eastAsia="Times New Roman" w:hAnsi="Times New Roman" w:cs="Times New Roman"/>
      <w:b w:val="0"/>
      <w:bCs w:val="0"/>
      <w:i/>
      <w:iCs/>
      <w:smallCaps w:val="0"/>
      <w:strike w:val="0"/>
      <w:sz w:val="17"/>
      <w:szCs w:val="17"/>
      <w:u w:val="none"/>
    </w:rPr>
  </w:style>
  <w:style w:type="character" w:customStyle="1" w:styleId="24">
    <w:name w:val="Основной текст (2) + Курсив"/>
    <w:basedOn w:val="2"/>
    <w:rsid w:val="000324FD"/>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43">
    <w:name w:val="Основной текст (4)_"/>
    <w:basedOn w:val="a4"/>
    <w:link w:val="44"/>
    <w:rsid w:val="000324FD"/>
    <w:rPr>
      <w:rFonts w:ascii="Times New Roman" w:eastAsia="Times New Roman" w:hAnsi="Times New Roman" w:cs="Times New Roman"/>
      <w:b w:val="0"/>
      <w:bCs w:val="0"/>
      <w:i/>
      <w:iCs/>
      <w:smallCaps w:val="0"/>
      <w:strike w:val="0"/>
      <w:sz w:val="17"/>
      <w:szCs w:val="17"/>
      <w:u w:val="none"/>
    </w:rPr>
  </w:style>
  <w:style w:type="character" w:customStyle="1" w:styleId="45">
    <w:name w:val="Основной текст (4) + Не курсив"/>
    <w:basedOn w:val="43"/>
    <w:rsid w:val="000324FD"/>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5">
    <w:name w:val="Основной текст (2) + Полужирный"/>
    <w:basedOn w:val="2"/>
    <w:rsid w:val="000324F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2pt">
    <w:name w:val="Основной текст (2) + 12 pt;Полужирный"/>
    <w:basedOn w:val="2"/>
    <w:rsid w:val="000324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sid w:val="000324FD"/>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7">
    <w:name w:val="Основной текст (2)"/>
    <w:basedOn w:val="2"/>
    <w:rsid w:val="000324F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2) + 8 pt;Полужирный"/>
    <w:basedOn w:val="2"/>
    <w:rsid w:val="000324F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
    <w:name w:val="Основной текст (2)"/>
    <w:basedOn w:val="2"/>
    <w:rsid w:val="000324FD"/>
    <w:rPr>
      <w:rFonts w:ascii="Times New Roman" w:eastAsia="Times New Roman" w:hAnsi="Times New Roman" w:cs="Times New Roman"/>
      <w:b w:val="0"/>
      <w:bCs w:val="0"/>
      <w:i w:val="0"/>
      <w:iCs w:val="0"/>
      <w:smallCaps w:val="0"/>
      <w:strike/>
      <w:color w:val="000000"/>
      <w:spacing w:val="0"/>
      <w:w w:val="100"/>
      <w:position w:val="0"/>
      <w:sz w:val="17"/>
      <w:szCs w:val="17"/>
      <w:u w:val="none"/>
      <w:lang w:val="ru-RU" w:eastAsia="ru-RU" w:bidi="ru-RU"/>
    </w:rPr>
  </w:style>
  <w:style w:type="character" w:customStyle="1" w:styleId="2CordiaUPC7pt">
    <w:name w:val="Основной текст (2) + CordiaUPC;7 pt"/>
    <w:basedOn w:val="2"/>
    <w:rsid w:val="000324FD"/>
    <w:rPr>
      <w:rFonts w:ascii="CordiaUPC" w:eastAsia="CordiaUPC" w:hAnsi="CordiaUPC" w:cs="CordiaUPC"/>
      <w:b w:val="0"/>
      <w:bCs w:val="0"/>
      <w:i w:val="0"/>
      <w:iCs w:val="0"/>
      <w:smallCaps w:val="0"/>
      <w:strike w:val="0"/>
      <w:color w:val="000000"/>
      <w:spacing w:val="0"/>
      <w:w w:val="100"/>
      <w:position w:val="0"/>
      <w:sz w:val="14"/>
      <w:szCs w:val="14"/>
      <w:u w:val="none"/>
      <w:lang w:val="ru-RU" w:eastAsia="ru-RU" w:bidi="ru-RU"/>
    </w:rPr>
  </w:style>
  <w:style w:type="character" w:customStyle="1" w:styleId="275pt">
    <w:name w:val="Основной текст (2) + 7.5 pt;Малые прописные"/>
    <w:basedOn w:val="2"/>
    <w:rsid w:val="000324FD"/>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character" w:customStyle="1" w:styleId="11">
    <w:name w:val="Заголовок №1_"/>
    <w:basedOn w:val="a4"/>
    <w:link w:val="12"/>
    <w:rsid w:val="000324FD"/>
    <w:rPr>
      <w:rFonts w:ascii="Constantia" w:eastAsia="Constantia" w:hAnsi="Constantia" w:cs="Constantia"/>
      <w:b/>
      <w:bCs/>
      <w:i/>
      <w:iCs/>
      <w:smallCaps w:val="0"/>
      <w:strike w:val="0"/>
      <w:spacing w:val="0"/>
      <w:sz w:val="13"/>
      <w:szCs w:val="13"/>
      <w:u w:val="none"/>
      <w:lang w:val="en-US" w:eastAsia="en-US" w:bidi="en-US"/>
    </w:rPr>
  </w:style>
  <w:style w:type="character" w:customStyle="1" w:styleId="1CourierNew24pt">
    <w:name w:val="Заголовок №1 + Courier New;24 pt;Не курсив"/>
    <w:basedOn w:val="11"/>
    <w:rsid w:val="000324FD"/>
    <w:rPr>
      <w:rFonts w:ascii="Courier New" w:eastAsia="Courier New" w:hAnsi="Courier New" w:cs="Courier New"/>
      <w:b/>
      <w:bCs/>
      <w:i/>
      <w:iCs/>
      <w:smallCaps w:val="0"/>
      <w:strike w:val="0"/>
      <w:color w:val="000000"/>
      <w:spacing w:val="0"/>
      <w:w w:val="100"/>
      <w:position w:val="0"/>
      <w:sz w:val="48"/>
      <w:szCs w:val="48"/>
      <w:u w:val="none"/>
      <w:lang w:val="ru-RU" w:eastAsia="ru-RU" w:bidi="ru-RU"/>
    </w:rPr>
  </w:style>
  <w:style w:type="character" w:customStyle="1" w:styleId="13">
    <w:name w:val="Заголовок №1"/>
    <w:basedOn w:val="11"/>
    <w:rsid w:val="000324FD"/>
    <w:rPr>
      <w:rFonts w:ascii="Constantia" w:eastAsia="Constantia" w:hAnsi="Constantia" w:cs="Constantia"/>
      <w:b/>
      <w:bCs/>
      <w:i/>
      <w:iCs/>
      <w:smallCaps w:val="0"/>
      <w:strike w:val="0"/>
      <w:color w:val="000000"/>
      <w:spacing w:val="0"/>
      <w:w w:val="100"/>
      <w:position w:val="0"/>
      <w:sz w:val="13"/>
      <w:szCs w:val="13"/>
      <w:u w:val="single"/>
      <w:lang w:val="en-US" w:eastAsia="en-US" w:bidi="en-US"/>
    </w:rPr>
  </w:style>
  <w:style w:type="character" w:customStyle="1" w:styleId="29">
    <w:name w:val="Заголовок №2_"/>
    <w:basedOn w:val="a4"/>
    <w:link w:val="2a"/>
    <w:rsid w:val="000324FD"/>
    <w:rPr>
      <w:rFonts w:ascii="Constantia" w:eastAsia="Constantia" w:hAnsi="Constantia" w:cs="Constantia"/>
      <w:b w:val="0"/>
      <w:bCs w:val="0"/>
      <w:i w:val="0"/>
      <w:iCs w:val="0"/>
      <w:smallCaps w:val="0"/>
      <w:strike w:val="0"/>
      <w:sz w:val="23"/>
      <w:szCs w:val="23"/>
      <w:u w:val="none"/>
    </w:rPr>
  </w:style>
  <w:style w:type="character" w:customStyle="1" w:styleId="2TimesNewRoman16pt">
    <w:name w:val="Заголовок №2 + Times New Roman;16 pt;Полужирный;Курсив"/>
    <w:basedOn w:val="29"/>
    <w:rsid w:val="000324FD"/>
    <w:rPr>
      <w:rFonts w:ascii="Times New Roman" w:eastAsia="Times New Roman" w:hAnsi="Times New Roman" w:cs="Times New Roman"/>
      <w:b/>
      <w:bCs/>
      <w:i/>
      <w:iCs/>
      <w:smallCaps w:val="0"/>
      <w:strike w:val="0"/>
      <w:color w:val="000000"/>
      <w:spacing w:val="0"/>
      <w:w w:val="100"/>
      <w:position w:val="0"/>
      <w:sz w:val="32"/>
      <w:szCs w:val="32"/>
      <w:u w:val="none"/>
      <w:lang w:val="en-US" w:eastAsia="en-US" w:bidi="en-US"/>
    </w:rPr>
  </w:style>
  <w:style w:type="character" w:customStyle="1" w:styleId="210pt">
    <w:name w:val="Заголовок №2 + 10 pt"/>
    <w:basedOn w:val="29"/>
    <w:rsid w:val="000324FD"/>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2TimesNewRoman85pt">
    <w:name w:val="Заголовок №2 + Times New Roman;8.5 pt;Полужирный"/>
    <w:basedOn w:val="29"/>
    <w:rsid w:val="000324F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MSReferenceSansSerif14pt">
    <w:name w:val="Заголовок №2 + MS Reference Sans Serif;14 pt;Курсив"/>
    <w:basedOn w:val="29"/>
    <w:rsid w:val="000324FD"/>
    <w:rPr>
      <w:rFonts w:ascii="MS Reference Sans Serif" w:eastAsia="MS Reference Sans Serif" w:hAnsi="MS Reference Sans Serif" w:cs="MS Reference Sans Serif"/>
      <w:b w:val="0"/>
      <w:bCs w:val="0"/>
      <w:i/>
      <w:iCs/>
      <w:smallCaps w:val="0"/>
      <w:strike w:val="0"/>
      <w:color w:val="000000"/>
      <w:spacing w:val="0"/>
      <w:w w:val="100"/>
      <w:position w:val="0"/>
      <w:sz w:val="28"/>
      <w:szCs w:val="28"/>
      <w:u w:val="none"/>
      <w:lang w:val="ru-RU" w:eastAsia="ru-RU" w:bidi="ru-RU"/>
    </w:rPr>
  </w:style>
  <w:style w:type="character" w:customStyle="1" w:styleId="31">
    <w:name w:val="Заголовок №3_"/>
    <w:basedOn w:val="a4"/>
    <w:link w:val="32"/>
    <w:rsid w:val="000324FD"/>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3"/>
    <w:link w:val="2"/>
    <w:rsid w:val="000324FD"/>
    <w:pPr>
      <w:shd w:val="clear" w:color="auto" w:fill="FFFFFF"/>
      <w:spacing w:line="197" w:lineRule="exact"/>
      <w:ind w:hanging="260"/>
      <w:jc w:val="center"/>
    </w:pPr>
    <w:rPr>
      <w:rFonts w:ascii="Times New Roman" w:eastAsia="Times New Roman" w:hAnsi="Times New Roman" w:cs="Times New Roman"/>
      <w:sz w:val="17"/>
      <w:szCs w:val="17"/>
    </w:rPr>
  </w:style>
  <w:style w:type="paragraph" w:customStyle="1" w:styleId="40">
    <w:name w:val="Заголовок №4"/>
    <w:basedOn w:val="a3"/>
    <w:link w:val="4"/>
    <w:rsid w:val="000324FD"/>
    <w:pPr>
      <w:shd w:val="clear" w:color="auto" w:fill="FFFFFF"/>
      <w:spacing w:line="197" w:lineRule="exact"/>
      <w:jc w:val="center"/>
      <w:outlineLvl w:val="3"/>
    </w:pPr>
    <w:rPr>
      <w:rFonts w:ascii="Times New Roman" w:eastAsia="Times New Roman" w:hAnsi="Times New Roman" w:cs="Times New Roman"/>
      <w:b/>
      <w:bCs/>
      <w:sz w:val="17"/>
      <w:szCs w:val="17"/>
    </w:rPr>
  </w:style>
  <w:style w:type="paragraph" w:customStyle="1" w:styleId="30">
    <w:name w:val="Основной текст (3)"/>
    <w:basedOn w:val="a3"/>
    <w:link w:val="3"/>
    <w:rsid w:val="000324FD"/>
    <w:pPr>
      <w:shd w:val="clear" w:color="auto" w:fill="FFFFFF"/>
      <w:spacing w:line="197" w:lineRule="exact"/>
    </w:pPr>
    <w:rPr>
      <w:rFonts w:ascii="Times New Roman" w:eastAsia="Times New Roman" w:hAnsi="Times New Roman" w:cs="Times New Roman"/>
      <w:b/>
      <w:bCs/>
      <w:sz w:val="17"/>
      <w:szCs w:val="17"/>
    </w:rPr>
  </w:style>
  <w:style w:type="paragraph" w:customStyle="1" w:styleId="50">
    <w:name w:val="Основной текст (5)"/>
    <w:basedOn w:val="a3"/>
    <w:link w:val="5"/>
    <w:rsid w:val="000324FD"/>
    <w:pPr>
      <w:shd w:val="clear" w:color="auto" w:fill="FFFFFF"/>
      <w:spacing w:line="0" w:lineRule="atLeast"/>
    </w:pPr>
    <w:rPr>
      <w:rFonts w:ascii="CordiaUPC" w:eastAsia="CordiaUPC" w:hAnsi="CordiaUPC" w:cs="CordiaUPC"/>
      <w:b/>
      <w:bCs/>
      <w:sz w:val="34"/>
      <w:szCs w:val="34"/>
    </w:rPr>
  </w:style>
  <w:style w:type="paragraph" w:customStyle="1" w:styleId="60">
    <w:name w:val="Основной текст (6)"/>
    <w:basedOn w:val="a3"/>
    <w:link w:val="6"/>
    <w:rsid w:val="000324FD"/>
    <w:pPr>
      <w:shd w:val="clear" w:color="auto" w:fill="FFFFFF"/>
      <w:spacing w:line="125" w:lineRule="exact"/>
      <w:jc w:val="both"/>
    </w:pPr>
    <w:rPr>
      <w:rFonts w:ascii="Courier New" w:eastAsia="Courier New" w:hAnsi="Courier New" w:cs="Courier New"/>
      <w:sz w:val="11"/>
      <w:szCs w:val="11"/>
    </w:rPr>
  </w:style>
  <w:style w:type="paragraph" w:customStyle="1" w:styleId="44">
    <w:name w:val="Основной текст (4)"/>
    <w:basedOn w:val="a3"/>
    <w:link w:val="43"/>
    <w:rsid w:val="000324FD"/>
    <w:pPr>
      <w:shd w:val="clear" w:color="auto" w:fill="FFFFFF"/>
      <w:spacing w:line="202" w:lineRule="exact"/>
      <w:ind w:hanging="660"/>
    </w:pPr>
    <w:rPr>
      <w:rFonts w:ascii="Times New Roman" w:eastAsia="Times New Roman" w:hAnsi="Times New Roman" w:cs="Times New Roman"/>
      <w:i/>
      <w:iCs/>
      <w:sz w:val="17"/>
      <w:szCs w:val="17"/>
    </w:rPr>
  </w:style>
  <w:style w:type="paragraph" w:customStyle="1" w:styleId="12">
    <w:name w:val="Заголовок №1"/>
    <w:basedOn w:val="a3"/>
    <w:link w:val="11"/>
    <w:rsid w:val="000324FD"/>
    <w:pPr>
      <w:shd w:val="clear" w:color="auto" w:fill="FFFFFF"/>
      <w:spacing w:line="0" w:lineRule="atLeast"/>
      <w:outlineLvl w:val="0"/>
    </w:pPr>
    <w:rPr>
      <w:rFonts w:ascii="Constantia" w:eastAsia="Constantia" w:hAnsi="Constantia" w:cs="Constantia"/>
      <w:b/>
      <w:bCs/>
      <w:i/>
      <w:iCs/>
      <w:sz w:val="13"/>
      <w:szCs w:val="13"/>
      <w:lang w:val="en-US" w:eastAsia="en-US" w:bidi="en-US"/>
    </w:rPr>
  </w:style>
  <w:style w:type="paragraph" w:customStyle="1" w:styleId="2a">
    <w:name w:val="Заголовок №2"/>
    <w:basedOn w:val="a3"/>
    <w:link w:val="29"/>
    <w:rsid w:val="000324FD"/>
    <w:pPr>
      <w:shd w:val="clear" w:color="auto" w:fill="FFFFFF"/>
      <w:spacing w:line="0" w:lineRule="atLeast"/>
      <w:outlineLvl w:val="1"/>
    </w:pPr>
    <w:rPr>
      <w:rFonts w:ascii="Constantia" w:eastAsia="Constantia" w:hAnsi="Constantia" w:cs="Constantia"/>
      <w:sz w:val="23"/>
      <w:szCs w:val="23"/>
    </w:rPr>
  </w:style>
  <w:style w:type="paragraph" w:customStyle="1" w:styleId="32">
    <w:name w:val="Заголовок №3"/>
    <w:basedOn w:val="a3"/>
    <w:link w:val="31"/>
    <w:rsid w:val="000324FD"/>
    <w:pPr>
      <w:shd w:val="clear" w:color="auto" w:fill="FFFFFF"/>
      <w:spacing w:line="0" w:lineRule="atLeast"/>
      <w:outlineLvl w:val="2"/>
    </w:pPr>
    <w:rPr>
      <w:rFonts w:ascii="Times New Roman" w:eastAsia="Times New Roman" w:hAnsi="Times New Roman" w:cs="Times New Roman"/>
      <w:sz w:val="17"/>
      <w:szCs w:val="17"/>
    </w:rPr>
  </w:style>
  <w:style w:type="paragraph" w:styleId="a8">
    <w:name w:val="List Paragraph"/>
    <w:basedOn w:val="a3"/>
    <w:link w:val="a9"/>
    <w:uiPriority w:val="34"/>
    <w:qFormat/>
    <w:rsid w:val="00335A7C"/>
    <w:pPr>
      <w:ind w:left="720"/>
      <w:contextualSpacing/>
    </w:pPr>
  </w:style>
  <w:style w:type="paragraph" w:styleId="aa">
    <w:name w:val="Document Map"/>
    <w:basedOn w:val="a3"/>
    <w:link w:val="ab"/>
    <w:uiPriority w:val="99"/>
    <w:rsid w:val="00CF2064"/>
    <w:pPr>
      <w:widowControl/>
      <w:shd w:val="clear" w:color="auto" w:fill="000080"/>
    </w:pPr>
    <w:rPr>
      <w:rFonts w:ascii="Tahoma" w:eastAsia="Times New Roman" w:hAnsi="Tahoma" w:cs="Tahoma"/>
      <w:color w:val="auto"/>
      <w:sz w:val="20"/>
      <w:szCs w:val="20"/>
      <w:lang w:bidi="ar-SA"/>
    </w:rPr>
  </w:style>
  <w:style w:type="character" w:customStyle="1" w:styleId="ab">
    <w:name w:val="Схема документа Знак"/>
    <w:basedOn w:val="a4"/>
    <w:link w:val="aa"/>
    <w:uiPriority w:val="99"/>
    <w:rsid w:val="00CF2064"/>
    <w:rPr>
      <w:rFonts w:ascii="Tahoma" w:eastAsia="Times New Roman" w:hAnsi="Tahoma" w:cs="Tahoma"/>
      <w:sz w:val="20"/>
      <w:szCs w:val="20"/>
      <w:shd w:val="clear" w:color="auto" w:fill="000080"/>
      <w:lang w:bidi="ar-SA"/>
    </w:rPr>
  </w:style>
  <w:style w:type="table" w:styleId="ac">
    <w:name w:val="Table Grid"/>
    <w:basedOn w:val="a5"/>
    <w:rsid w:val="00CF206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3"/>
    <w:rsid w:val="002309F0"/>
    <w:pPr>
      <w:widowControl/>
      <w:numPr>
        <w:numId w:val="1"/>
      </w:numPr>
      <w:spacing w:before="240" w:after="120"/>
      <w:outlineLvl w:val="0"/>
    </w:pPr>
    <w:rPr>
      <w:rFonts w:ascii="Times New Roman" w:eastAsia="Times New Roman" w:hAnsi="Times New Roman" w:cs="Times New Roman"/>
      <w:caps/>
      <w:color w:val="auto"/>
      <w:sz w:val="22"/>
      <w:lang w:bidi="ar-SA"/>
    </w:rPr>
  </w:style>
  <w:style w:type="paragraph" w:customStyle="1" w:styleId="a0">
    <w:name w:val="Раздел"/>
    <w:basedOn w:val="a"/>
    <w:rsid w:val="002309F0"/>
    <w:pPr>
      <w:numPr>
        <w:ilvl w:val="1"/>
      </w:numPr>
      <w:spacing w:before="0"/>
      <w:outlineLvl w:val="1"/>
    </w:pPr>
    <w:rPr>
      <w:caps w:val="0"/>
    </w:rPr>
  </w:style>
  <w:style w:type="paragraph" w:customStyle="1" w:styleId="a1">
    <w:name w:val="Пункт"/>
    <w:basedOn w:val="a0"/>
    <w:rsid w:val="002309F0"/>
    <w:pPr>
      <w:numPr>
        <w:ilvl w:val="2"/>
      </w:numPr>
      <w:spacing w:after="60"/>
      <w:outlineLvl w:val="9"/>
    </w:pPr>
  </w:style>
  <w:style w:type="paragraph" w:customStyle="1" w:styleId="a2">
    <w:name w:val="Подпункт"/>
    <w:basedOn w:val="a1"/>
    <w:rsid w:val="002309F0"/>
    <w:pPr>
      <w:numPr>
        <w:ilvl w:val="3"/>
      </w:numPr>
    </w:pPr>
  </w:style>
  <w:style w:type="paragraph" w:customStyle="1" w:styleId="14">
    <w:name w:val="Абзац списка1"/>
    <w:basedOn w:val="a3"/>
    <w:rsid w:val="00ED7C84"/>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2b">
    <w:name w:val="Body Text 2"/>
    <w:basedOn w:val="a3"/>
    <w:link w:val="2c"/>
    <w:semiHidden/>
    <w:rsid w:val="00211D69"/>
    <w:pPr>
      <w:widowControl/>
      <w:spacing w:line="220" w:lineRule="exact"/>
      <w:jc w:val="both"/>
    </w:pPr>
    <w:rPr>
      <w:rFonts w:ascii="Times New Roman" w:eastAsia="Times New Roman" w:hAnsi="Times New Roman" w:cs="Times New Roman"/>
      <w:color w:val="auto"/>
      <w:szCs w:val="20"/>
      <w:lang w:bidi="ar-SA"/>
    </w:rPr>
  </w:style>
  <w:style w:type="character" w:customStyle="1" w:styleId="2c">
    <w:name w:val="Основной текст 2 Знак"/>
    <w:basedOn w:val="a4"/>
    <w:link w:val="2b"/>
    <w:semiHidden/>
    <w:rsid w:val="00211D69"/>
    <w:rPr>
      <w:rFonts w:ascii="Times New Roman" w:eastAsia="Times New Roman" w:hAnsi="Times New Roman" w:cs="Times New Roman"/>
      <w:szCs w:val="20"/>
      <w:lang w:bidi="ar-SA"/>
    </w:rPr>
  </w:style>
  <w:style w:type="paragraph" w:styleId="ad">
    <w:name w:val="Balloon Text"/>
    <w:basedOn w:val="a3"/>
    <w:link w:val="ae"/>
    <w:uiPriority w:val="99"/>
    <w:semiHidden/>
    <w:unhideWhenUsed/>
    <w:rsid w:val="009041F1"/>
    <w:rPr>
      <w:rFonts w:ascii="Tahoma" w:hAnsi="Tahoma" w:cs="Tahoma"/>
      <w:sz w:val="16"/>
      <w:szCs w:val="16"/>
    </w:rPr>
  </w:style>
  <w:style w:type="character" w:customStyle="1" w:styleId="ae">
    <w:name w:val="Текст выноски Знак"/>
    <w:basedOn w:val="a4"/>
    <w:link w:val="ad"/>
    <w:uiPriority w:val="99"/>
    <w:semiHidden/>
    <w:rsid w:val="009041F1"/>
    <w:rPr>
      <w:rFonts w:ascii="Tahoma" w:hAnsi="Tahoma" w:cs="Tahoma"/>
      <w:color w:val="000000"/>
      <w:sz w:val="16"/>
      <w:szCs w:val="16"/>
    </w:rPr>
  </w:style>
  <w:style w:type="paragraph" w:customStyle="1" w:styleId="Default">
    <w:name w:val="Default"/>
    <w:rsid w:val="0001794E"/>
    <w:pPr>
      <w:widowControl/>
      <w:autoSpaceDE w:val="0"/>
      <w:autoSpaceDN w:val="0"/>
      <w:adjustRightInd w:val="0"/>
    </w:pPr>
    <w:rPr>
      <w:rFonts w:ascii="Arial" w:hAnsi="Arial" w:cs="Arial"/>
      <w:color w:val="000000"/>
      <w:lang w:bidi="ar-SA"/>
    </w:rPr>
  </w:style>
  <w:style w:type="paragraph" w:styleId="2d">
    <w:name w:val="Quote"/>
    <w:basedOn w:val="a3"/>
    <w:next w:val="a3"/>
    <w:link w:val="2e"/>
    <w:uiPriority w:val="29"/>
    <w:qFormat/>
    <w:rsid w:val="00534D38"/>
    <w:rPr>
      <w:i/>
      <w:iCs/>
      <w:color w:val="000000" w:themeColor="text1"/>
    </w:rPr>
  </w:style>
  <w:style w:type="character" w:customStyle="1" w:styleId="2e">
    <w:name w:val="Цитата 2 Знак"/>
    <w:basedOn w:val="a4"/>
    <w:link w:val="2d"/>
    <w:uiPriority w:val="29"/>
    <w:rsid w:val="00534D38"/>
    <w:rPr>
      <w:i/>
      <w:iCs/>
      <w:color w:val="000000" w:themeColor="text1"/>
    </w:rPr>
  </w:style>
  <w:style w:type="character" w:customStyle="1" w:styleId="a9">
    <w:name w:val="Абзац списка Знак"/>
    <w:basedOn w:val="a4"/>
    <w:link w:val="a8"/>
    <w:uiPriority w:val="34"/>
    <w:rsid w:val="00001CD2"/>
    <w:rPr>
      <w:color w:val="000000"/>
    </w:rPr>
  </w:style>
  <w:style w:type="paragraph" w:styleId="af">
    <w:name w:val="Subtitle"/>
    <w:basedOn w:val="a3"/>
    <w:next w:val="a3"/>
    <w:link w:val="af0"/>
    <w:uiPriority w:val="11"/>
    <w:qFormat/>
    <w:rsid w:val="00711FC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4"/>
    <w:link w:val="af"/>
    <w:uiPriority w:val="11"/>
    <w:rsid w:val="00711FCD"/>
    <w:rPr>
      <w:rFonts w:asciiTheme="majorHAnsi" w:eastAsiaTheme="majorEastAsia" w:hAnsiTheme="majorHAnsi" w:cstheme="majorBidi"/>
      <w:i/>
      <w:iCs/>
      <w:color w:val="4F81BD" w:themeColor="accent1"/>
      <w:spacing w:val="15"/>
    </w:rPr>
  </w:style>
  <w:style w:type="paragraph" w:styleId="af1">
    <w:name w:val="No Spacing"/>
    <w:uiPriority w:val="1"/>
    <w:qFormat/>
    <w:rsid w:val="00711FCD"/>
    <w:rPr>
      <w:color w:val="000000"/>
    </w:rPr>
  </w:style>
  <w:style w:type="character" w:styleId="af2">
    <w:name w:val="Placeholder Text"/>
    <w:basedOn w:val="a4"/>
    <w:uiPriority w:val="99"/>
    <w:semiHidden/>
    <w:rsid w:val="00417690"/>
    <w:rPr>
      <w:color w:val="808080"/>
    </w:rPr>
  </w:style>
  <w:style w:type="paragraph" w:styleId="af3">
    <w:name w:val="Revision"/>
    <w:hidden/>
    <w:uiPriority w:val="99"/>
    <w:semiHidden/>
    <w:rsid w:val="00444AB3"/>
    <w:pPr>
      <w:widowControl/>
    </w:pPr>
    <w:rPr>
      <w:color w:val="000000"/>
    </w:rPr>
  </w:style>
  <w:style w:type="paragraph" w:styleId="af4">
    <w:name w:val="Normal (Web)"/>
    <w:basedOn w:val="a3"/>
    <w:uiPriority w:val="99"/>
    <w:unhideWhenUsed/>
    <w:rsid w:val="00B23F0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4"/>
    <w:link w:val="1"/>
    <w:uiPriority w:val="9"/>
    <w:rsid w:val="00857B7A"/>
    <w:rPr>
      <w:rFonts w:ascii="Times New Roman" w:eastAsia="Times New Roman" w:hAnsi="Times New Roman" w:cs="Times New Roman"/>
      <w:b/>
      <w:bCs/>
      <w:kern w:val="36"/>
      <w:sz w:val="48"/>
      <w:szCs w:val="48"/>
      <w:lang w:bidi="ar-SA"/>
    </w:rPr>
  </w:style>
  <w:style w:type="character" w:customStyle="1" w:styleId="referenceable">
    <w:name w:val="referenceable"/>
    <w:basedOn w:val="a4"/>
    <w:rsid w:val="0085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0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B672CFDF48AE358B0ACDF9BF3CBB6B4C8115127B96356874A170D3780834EDEFEBD669DB2AE29E31F0CCJ"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4C585-464F-4593-8587-4CCA78BA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9617</Words>
  <Characters>54818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Мололкина Екатерина Евгеньевна</dc:creator>
  <cp:lastModifiedBy>Сорока Дарья Олеговна</cp:lastModifiedBy>
  <cp:revision>4</cp:revision>
  <cp:lastPrinted>2023-03-13T09:00:00Z</cp:lastPrinted>
  <dcterms:created xsi:type="dcterms:W3CDTF">2023-03-09T14:52:00Z</dcterms:created>
  <dcterms:modified xsi:type="dcterms:W3CDTF">2023-03-16T07:21:00Z</dcterms:modified>
</cp:coreProperties>
</file>