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A5" w:rsidRPr="00F47BEE" w:rsidRDefault="00A11985" w:rsidP="003D7D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674E4" w:rsidRPr="00F47BEE" w:rsidRDefault="0009607F" w:rsidP="003D7D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47B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-254635</wp:posOffset>
            </wp:positionV>
            <wp:extent cx="1971675" cy="1109980"/>
            <wp:effectExtent l="19050" t="0" r="9525" b="0"/>
            <wp:wrapNone/>
            <wp:docPr id="8" name="Рисунок 8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E37" w:rsidRPr="00F47BEE" w:rsidRDefault="00014E37" w:rsidP="003D7D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14E37" w:rsidRPr="00F47BEE" w:rsidRDefault="00014E37" w:rsidP="003D7D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14E37" w:rsidRPr="00F47BEE" w:rsidRDefault="00014E37" w:rsidP="003D7D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14E37" w:rsidRPr="00F47BEE" w:rsidRDefault="00014E37" w:rsidP="003D7D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14E37" w:rsidRPr="00F47BEE" w:rsidRDefault="00014E37" w:rsidP="003D7D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14E37" w:rsidRPr="00F47BEE" w:rsidRDefault="00120E44" w:rsidP="00F759E2">
      <w:pPr>
        <w:tabs>
          <w:tab w:val="left" w:pos="0"/>
        </w:tabs>
        <w:spacing w:line="240" w:lineRule="auto"/>
        <w:ind w:firstLine="6804"/>
        <w:jc w:val="right"/>
        <w:rPr>
          <w:rFonts w:ascii="Times New Roman" w:hAnsi="Times New Roman"/>
          <w:b/>
          <w:sz w:val="24"/>
          <w:szCs w:val="24"/>
        </w:rPr>
      </w:pPr>
      <w:r w:rsidRPr="00F47BE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-44450</wp:posOffset>
                </wp:positionV>
                <wp:extent cx="114300" cy="144780"/>
                <wp:effectExtent l="0" t="0" r="0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E37" w:rsidRDefault="00014E37" w:rsidP="00014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09.2pt;margin-top:-3.5pt;width:9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" stroked="f">
                <v:textbox>
                  <w:txbxContent>
                    <w:p w:rsidR="00014E37" w:rsidRDefault="00014E37" w:rsidP="00014E37"/>
                  </w:txbxContent>
                </v:textbox>
              </v:rect>
            </w:pict>
          </mc:Fallback>
        </mc:AlternateContent>
      </w:r>
      <w:r w:rsidR="00014E37" w:rsidRPr="00F47BEE">
        <w:rPr>
          <w:rFonts w:ascii="Times New Roman" w:hAnsi="Times New Roman"/>
          <w:b/>
          <w:sz w:val="24"/>
          <w:szCs w:val="24"/>
        </w:rPr>
        <w:t>УТВЕРЖДАЮ</w:t>
      </w:r>
    </w:p>
    <w:p w:rsidR="00890C1F" w:rsidRPr="00F47BEE" w:rsidRDefault="00890C1F" w:rsidP="00F759E2">
      <w:pPr>
        <w:pStyle w:val="aff3"/>
        <w:jc w:val="right"/>
        <w:rPr>
          <w:rFonts w:ascii="Times New Roman" w:hAnsi="Times New Roman"/>
          <w:b/>
          <w:sz w:val="24"/>
          <w:szCs w:val="24"/>
        </w:rPr>
      </w:pPr>
      <w:r w:rsidRPr="00F47BEE">
        <w:rPr>
          <w:rFonts w:ascii="Times New Roman" w:hAnsi="Times New Roman"/>
          <w:b/>
          <w:sz w:val="24"/>
          <w:szCs w:val="24"/>
        </w:rPr>
        <w:t>Исполняющий обязанности</w:t>
      </w:r>
    </w:p>
    <w:p w:rsidR="00014E37" w:rsidRPr="00F47BEE" w:rsidRDefault="00014E37" w:rsidP="00F759E2">
      <w:pPr>
        <w:pStyle w:val="aff3"/>
        <w:jc w:val="right"/>
        <w:rPr>
          <w:rFonts w:ascii="Times New Roman" w:hAnsi="Times New Roman"/>
          <w:b/>
          <w:sz w:val="24"/>
          <w:szCs w:val="24"/>
        </w:rPr>
      </w:pPr>
      <w:r w:rsidRPr="00F47BEE">
        <w:rPr>
          <w:rFonts w:ascii="Times New Roman" w:hAnsi="Times New Roman"/>
          <w:b/>
          <w:sz w:val="24"/>
          <w:szCs w:val="24"/>
        </w:rPr>
        <w:t>Председател</w:t>
      </w:r>
      <w:r w:rsidR="00890C1F" w:rsidRPr="00F47BEE">
        <w:rPr>
          <w:rFonts w:ascii="Times New Roman" w:hAnsi="Times New Roman"/>
          <w:b/>
          <w:sz w:val="24"/>
          <w:szCs w:val="24"/>
        </w:rPr>
        <w:t>я</w:t>
      </w:r>
      <w:r w:rsidRPr="00F47BEE">
        <w:rPr>
          <w:rFonts w:ascii="Times New Roman" w:hAnsi="Times New Roman"/>
          <w:b/>
          <w:sz w:val="24"/>
          <w:szCs w:val="24"/>
        </w:rPr>
        <w:t xml:space="preserve"> Правления</w:t>
      </w:r>
    </w:p>
    <w:p w:rsidR="00014E37" w:rsidRPr="00F47BEE" w:rsidRDefault="00014E37" w:rsidP="00F759E2">
      <w:pPr>
        <w:pStyle w:val="aff3"/>
        <w:jc w:val="right"/>
        <w:rPr>
          <w:rFonts w:ascii="Times New Roman" w:hAnsi="Times New Roman"/>
          <w:b/>
          <w:sz w:val="24"/>
          <w:szCs w:val="24"/>
        </w:rPr>
      </w:pPr>
      <w:r w:rsidRPr="00F47BEE">
        <w:rPr>
          <w:rFonts w:ascii="Times New Roman" w:hAnsi="Times New Roman"/>
          <w:b/>
          <w:sz w:val="24"/>
          <w:szCs w:val="24"/>
        </w:rPr>
        <w:t>КБ «Гарант-Инвест» (АО)</w:t>
      </w:r>
    </w:p>
    <w:p w:rsidR="00890C1F" w:rsidRPr="00F47BEE" w:rsidRDefault="00890C1F" w:rsidP="00F759E2">
      <w:pPr>
        <w:pStyle w:val="aff3"/>
        <w:jc w:val="right"/>
        <w:rPr>
          <w:rFonts w:ascii="Times New Roman" w:hAnsi="Times New Roman"/>
          <w:b/>
          <w:sz w:val="24"/>
          <w:szCs w:val="24"/>
        </w:rPr>
      </w:pPr>
    </w:p>
    <w:p w:rsidR="00014E37" w:rsidRPr="00F47BEE" w:rsidRDefault="00014E37" w:rsidP="00F759E2">
      <w:pPr>
        <w:pStyle w:val="aff3"/>
        <w:jc w:val="right"/>
        <w:rPr>
          <w:rFonts w:ascii="Times New Roman" w:hAnsi="Times New Roman"/>
          <w:b/>
          <w:sz w:val="24"/>
          <w:szCs w:val="24"/>
        </w:rPr>
      </w:pPr>
      <w:r w:rsidRPr="00F47BEE">
        <w:rPr>
          <w:rFonts w:ascii="Times New Roman" w:hAnsi="Times New Roman"/>
          <w:b/>
          <w:sz w:val="24"/>
          <w:szCs w:val="24"/>
        </w:rPr>
        <w:t>_______________</w:t>
      </w:r>
    </w:p>
    <w:p w:rsidR="00890C1F" w:rsidRPr="00F47BEE" w:rsidRDefault="00890C1F" w:rsidP="00F759E2">
      <w:pPr>
        <w:pStyle w:val="aff3"/>
        <w:jc w:val="right"/>
        <w:rPr>
          <w:rFonts w:ascii="Times New Roman" w:hAnsi="Times New Roman"/>
          <w:b/>
          <w:sz w:val="24"/>
          <w:szCs w:val="24"/>
        </w:rPr>
      </w:pPr>
      <w:r w:rsidRPr="00F47BEE">
        <w:rPr>
          <w:rFonts w:ascii="Times New Roman" w:hAnsi="Times New Roman"/>
          <w:b/>
          <w:sz w:val="24"/>
          <w:szCs w:val="24"/>
        </w:rPr>
        <w:t>Н.Ю. Синельщикова</w:t>
      </w:r>
    </w:p>
    <w:p w:rsidR="009674E4" w:rsidRPr="00F47BEE" w:rsidRDefault="00890C1F" w:rsidP="00F759E2">
      <w:pPr>
        <w:pStyle w:val="aff3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47BEE">
        <w:rPr>
          <w:rFonts w:ascii="Times New Roman" w:eastAsia="Times New Roman" w:hAnsi="Times New Roman"/>
          <w:b/>
          <w:sz w:val="24"/>
          <w:szCs w:val="24"/>
        </w:rPr>
        <w:t>«</w:t>
      </w:r>
      <w:r w:rsidR="00A11985">
        <w:rPr>
          <w:rFonts w:ascii="Times New Roman" w:eastAsia="Times New Roman" w:hAnsi="Times New Roman"/>
          <w:b/>
          <w:sz w:val="24"/>
          <w:szCs w:val="24"/>
        </w:rPr>
        <w:t>23</w:t>
      </w:r>
      <w:r w:rsidRPr="00F47BEE">
        <w:rPr>
          <w:rFonts w:ascii="Times New Roman" w:eastAsia="Times New Roman" w:hAnsi="Times New Roman"/>
          <w:b/>
          <w:sz w:val="24"/>
          <w:szCs w:val="24"/>
        </w:rPr>
        <w:t>» марта 2022г.</w:t>
      </w:r>
    </w:p>
    <w:p w:rsidR="00CE0920" w:rsidRPr="00F47BEE" w:rsidRDefault="00A11985" w:rsidP="00F759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D7D19" w:rsidRPr="00F47BEE" w:rsidRDefault="00EF43AB" w:rsidP="00014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7BEE">
        <w:rPr>
          <w:rFonts w:ascii="Times New Roman" w:eastAsia="Times New Roman" w:hAnsi="Times New Roman"/>
          <w:b/>
          <w:sz w:val="24"/>
          <w:szCs w:val="24"/>
        </w:rPr>
        <w:t>ДОПОЛНИТЕЛЬНЫЕ УСЛОВИЯ</w:t>
      </w:r>
    </w:p>
    <w:p w:rsidR="00A07F1F" w:rsidRPr="00F47BEE" w:rsidRDefault="00EF43AB" w:rsidP="00014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7BEE">
        <w:rPr>
          <w:rFonts w:ascii="Times New Roman" w:eastAsia="Times New Roman" w:hAnsi="Times New Roman"/>
          <w:b/>
          <w:sz w:val="24"/>
          <w:szCs w:val="24"/>
        </w:rPr>
        <w:t xml:space="preserve">использования </w:t>
      </w:r>
      <w:r w:rsidR="005260DD" w:rsidRPr="00F47BEE">
        <w:rPr>
          <w:rFonts w:ascii="Times New Roman" w:eastAsia="Times New Roman" w:hAnsi="Times New Roman"/>
          <w:b/>
          <w:sz w:val="24"/>
          <w:szCs w:val="24"/>
        </w:rPr>
        <w:t xml:space="preserve">банковских </w:t>
      </w:r>
      <w:r w:rsidRPr="00F47BEE">
        <w:rPr>
          <w:rFonts w:ascii="Times New Roman" w:eastAsia="Times New Roman" w:hAnsi="Times New Roman"/>
          <w:b/>
          <w:sz w:val="24"/>
          <w:szCs w:val="24"/>
        </w:rPr>
        <w:t xml:space="preserve">карт </w:t>
      </w:r>
      <w:r w:rsidR="005260DD" w:rsidRPr="00F47BEE">
        <w:rPr>
          <w:rFonts w:ascii="Times New Roman" w:eastAsia="Times New Roman" w:hAnsi="Times New Roman"/>
          <w:b/>
          <w:sz w:val="24"/>
          <w:szCs w:val="24"/>
        </w:rPr>
        <w:t>Коммерческого банка «Гарант-Инвест» (Акционерное общество)</w:t>
      </w:r>
      <w:r w:rsidR="0087352B" w:rsidRPr="00F47B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47BEE">
        <w:rPr>
          <w:rFonts w:ascii="Times New Roman" w:eastAsia="Times New Roman" w:hAnsi="Times New Roman"/>
          <w:b/>
          <w:sz w:val="24"/>
          <w:szCs w:val="24"/>
        </w:rPr>
        <w:t>при осуществлении операций посредством мобильного платежного сервиса</w:t>
      </w:r>
    </w:p>
    <w:p w:rsidR="00AD75D0" w:rsidRPr="00F47BEE" w:rsidRDefault="00A11985" w:rsidP="00CE09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64141" w:rsidRPr="00F47BEE" w:rsidRDefault="00EF43AB" w:rsidP="002968F6">
      <w:pPr>
        <w:pStyle w:val="a"/>
        <w:ind w:left="1945" w:hanging="1236"/>
        <w:rPr>
          <w:rFonts w:ascii="Times New Roman" w:hAnsi="Times New Roman"/>
          <w:sz w:val="24"/>
          <w:szCs w:val="24"/>
        </w:rPr>
      </w:pPr>
      <w:r w:rsidRPr="00F47BEE">
        <w:rPr>
          <w:rFonts w:ascii="Times New Roman" w:hAnsi="Times New Roman"/>
          <w:sz w:val="24"/>
          <w:szCs w:val="24"/>
        </w:rPr>
        <w:t>ТЕРМИНЫ И ОПРЕДЕЛЕНИЯ</w:t>
      </w:r>
    </w:p>
    <w:tbl>
      <w:tblPr>
        <w:tblW w:w="0" w:type="auto"/>
        <w:tblInd w:w="812" w:type="dxa"/>
        <w:tblLook w:val="04A0" w:firstRow="1" w:lastRow="0" w:firstColumn="1" w:lastColumn="0" w:noHBand="0" w:noVBand="1"/>
      </w:tblPr>
      <w:tblGrid>
        <w:gridCol w:w="2345"/>
        <w:gridCol w:w="7048"/>
      </w:tblGrid>
      <w:tr w:rsidR="00CD23A6" w:rsidRPr="00F47BEE" w:rsidTr="00CD23A6">
        <w:trPr>
          <w:trHeight w:val="1058"/>
        </w:trPr>
        <w:tc>
          <w:tcPr>
            <w:tcW w:w="2345" w:type="dxa"/>
            <w:shd w:val="clear" w:color="auto" w:fill="auto"/>
          </w:tcPr>
          <w:p w:rsidR="00CD23A6" w:rsidRPr="00F47BEE" w:rsidRDefault="00CD23A6" w:rsidP="006F2A76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BEE">
              <w:rPr>
                <w:rFonts w:ascii="Times New Roman" w:hAnsi="Times New Roman"/>
                <w:b/>
                <w:sz w:val="24"/>
                <w:szCs w:val="24"/>
              </w:rPr>
              <w:t>Near</w:t>
            </w:r>
            <w:proofErr w:type="spellEnd"/>
            <w:r w:rsidRPr="00F47B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BEE">
              <w:rPr>
                <w:rFonts w:ascii="Times New Roman" w:hAnsi="Times New Roman"/>
                <w:b/>
                <w:sz w:val="24"/>
                <w:szCs w:val="24"/>
              </w:rPr>
              <w:t>Field</w:t>
            </w:r>
            <w:proofErr w:type="spellEnd"/>
            <w:r w:rsidRPr="00F47B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BEE">
              <w:rPr>
                <w:rFonts w:ascii="Times New Roman" w:hAnsi="Times New Roman"/>
                <w:b/>
                <w:sz w:val="24"/>
                <w:szCs w:val="24"/>
              </w:rPr>
              <w:t>Communication</w:t>
            </w:r>
            <w:proofErr w:type="spellEnd"/>
            <w:r w:rsidRPr="00F47BEE">
              <w:rPr>
                <w:rFonts w:ascii="Times New Roman" w:hAnsi="Times New Roman"/>
                <w:b/>
                <w:sz w:val="24"/>
                <w:szCs w:val="24"/>
              </w:rPr>
              <w:t xml:space="preserve"> (NFC)</w:t>
            </w:r>
          </w:p>
        </w:tc>
        <w:tc>
          <w:tcPr>
            <w:tcW w:w="7048" w:type="dxa"/>
            <w:shd w:val="clear" w:color="auto" w:fill="auto"/>
          </w:tcPr>
          <w:p w:rsidR="00CD23A6" w:rsidRPr="00F47BEE" w:rsidRDefault="00CD23A6" w:rsidP="006F2A76">
            <w:pPr>
              <w:numPr>
                <w:ilvl w:val="0"/>
                <w:numId w:val="3"/>
              </w:numPr>
              <w:spacing w:after="120" w:line="240" w:lineRule="auto"/>
              <w:ind w:left="371" w:hanging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 xml:space="preserve">технология беспроводной передачи данных </w:t>
            </w:r>
            <w:r w:rsidR="00691A71">
              <w:rPr>
                <w:rFonts w:ascii="Times New Roman" w:hAnsi="Times New Roman"/>
                <w:sz w:val="24"/>
                <w:szCs w:val="24"/>
              </w:rPr>
              <w:t>малого радиуса действия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>, которая дает возможность обмена данными между Мобильными устройствами/Носимыми устройствами, находящимися на расстоянии около 10 (десяти) сантиметров</w:t>
            </w:r>
          </w:p>
        </w:tc>
      </w:tr>
      <w:tr w:rsidR="00DB424B" w:rsidRPr="00F47BEE" w:rsidTr="00CD23A6">
        <w:trPr>
          <w:trHeight w:val="1058"/>
        </w:trPr>
        <w:tc>
          <w:tcPr>
            <w:tcW w:w="2345" w:type="dxa"/>
            <w:shd w:val="clear" w:color="auto" w:fill="auto"/>
          </w:tcPr>
          <w:p w:rsidR="0092300C" w:rsidRPr="00F47BEE" w:rsidRDefault="00EF43AB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  <w:r w:rsidRPr="00F47BEE">
              <w:rPr>
                <w:rFonts w:ascii="Times New Roman" w:hAnsi="Times New Roman"/>
                <w:b/>
                <w:sz w:val="24"/>
                <w:szCs w:val="24"/>
              </w:rPr>
              <w:t>Банковская карта</w:t>
            </w:r>
          </w:p>
          <w:p w:rsidR="004B33FB" w:rsidRPr="00F47BEE" w:rsidRDefault="004B33FB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3FB" w:rsidRPr="00F47BEE" w:rsidRDefault="004B33FB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3FB" w:rsidRPr="00F47BEE" w:rsidRDefault="004B33FB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3FB" w:rsidRPr="00F47BEE" w:rsidRDefault="004B33FB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3FB" w:rsidRPr="00F47BEE" w:rsidRDefault="004B33FB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3FB" w:rsidRPr="00F47BEE" w:rsidRDefault="004B33FB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  <w:r w:rsidRPr="00F47BEE">
              <w:rPr>
                <w:rFonts w:ascii="Times New Roman" w:hAnsi="Times New Roman"/>
                <w:b/>
                <w:sz w:val="24"/>
                <w:szCs w:val="24"/>
              </w:rPr>
              <w:t>Биометрия</w:t>
            </w:r>
          </w:p>
          <w:p w:rsidR="00CD23A6" w:rsidRPr="00F47BEE" w:rsidRDefault="00CD23A6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3A6" w:rsidRPr="00F47BEE" w:rsidRDefault="00CD23A6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3A6" w:rsidRPr="00F47BEE" w:rsidRDefault="00CD23A6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3A6" w:rsidRPr="00F47BEE" w:rsidRDefault="00CD23A6" w:rsidP="004B3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:rsidR="0092300C" w:rsidRPr="00F47BEE" w:rsidRDefault="00EF43AB">
            <w:pPr>
              <w:numPr>
                <w:ilvl w:val="0"/>
                <w:numId w:val="3"/>
              </w:numPr>
              <w:spacing w:after="120" w:line="240" w:lineRule="auto"/>
              <w:ind w:left="371" w:hanging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>банковская карта платежной системы «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Visa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>.»</w:t>
            </w:r>
            <w:r w:rsidR="00F759E2" w:rsidRPr="00F47BEE">
              <w:rPr>
                <w:rFonts w:ascii="Times New Roman" w:hAnsi="Times New Roman"/>
                <w:sz w:val="24"/>
                <w:szCs w:val="24"/>
              </w:rPr>
              <w:t>,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MasterCard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Wor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dwide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>»</w:t>
            </w:r>
            <w:r w:rsidR="00890C1F" w:rsidRPr="00F47BEE">
              <w:rPr>
                <w:rFonts w:ascii="Times New Roman" w:hAnsi="Times New Roman"/>
                <w:sz w:val="24"/>
                <w:szCs w:val="24"/>
              </w:rPr>
              <w:t xml:space="preserve"> или национальной платежной системы «МИР»</w:t>
            </w:r>
            <w:r w:rsidR="00691A71">
              <w:rPr>
                <w:rFonts w:ascii="Times New Roman" w:hAnsi="Times New Roman"/>
                <w:sz w:val="24"/>
                <w:szCs w:val="24"/>
              </w:rPr>
              <w:t>,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 xml:space="preserve"> выпущенная </w:t>
            </w:r>
            <w:r w:rsidR="00014E37" w:rsidRPr="00F47BEE">
              <w:rPr>
                <w:rFonts w:ascii="Times New Roman" w:hAnsi="Times New Roman"/>
                <w:sz w:val="24"/>
                <w:szCs w:val="24"/>
              </w:rPr>
              <w:t>Коммерческим банком «Гарант-Инвест»</w:t>
            </w:r>
            <w:r w:rsidR="00AB5DD0"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E37" w:rsidRPr="00F47BEE">
              <w:rPr>
                <w:rFonts w:ascii="Times New Roman" w:hAnsi="Times New Roman"/>
                <w:sz w:val="24"/>
                <w:szCs w:val="24"/>
              </w:rPr>
              <w:t>(Акционерное общество)</w:t>
            </w:r>
            <w:r w:rsidR="00A30C24"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E37" w:rsidRPr="00F47BEE">
              <w:rPr>
                <w:rFonts w:ascii="Times New Roman" w:hAnsi="Times New Roman"/>
                <w:sz w:val="24"/>
                <w:szCs w:val="24"/>
              </w:rPr>
              <w:t>(далее - Банк)</w:t>
            </w:r>
            <w:r w:rsidR="005260DD" w:rsidRPr="00F47BEE">
              <w:rPr>
                <w:rFonts w:ascii="Times New Roman" w:hAnsi="Times New Roman"/>
                <w:sz w:val="24"/>
                <w:szCs w:val="24"/>
              </w:rPr>
              <w:t xml:space="preserve"> на условиях, предусмотренных Договором на открытие счета с использованием банковских карт</w:t>
            </w:r>
          </w:p>
          <w:p w:rsidR="004B33FB" w:rsidRPr="00F47BEE" w:rsidRDefault="004B33FB" w:rsidP="004B33FB">
            <w:pPr>
              <w:spacing w:after="120" w:line="240" w:lineRule="auto"/>
              <w:ind w:left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>технология распознавания формы лица/радужной оболочки глаз. Биометрия при совершении Клиентом Банка операции с использованием Банковской карты посредством Мобильного платежного сервиса признается простой электронной подписью Клиента Банка и может использоваться многократно</w:t>
            </w:r>
          </w:p>
        </w:tc>
      </w:tr>
      <w:tr w:rsidR="00DB424B" w:rsidRPr="00F47BEE" w:rsidTr="00CD23A6">
        <w:trPr>
          <w:trHeight w:val="254"/>
        </w:trPr>
        <w:tc>
          <w:tcPr>
            <w:tcW w:w="2345" w:type="dxa"/>
            <w:shd w:val="clear" w:color="auto" w:fill="auto"/>
          </w:tcPr>
          <w:p w:rsidR="0092300C" w:rsidRPr="00F47BEE" w:rsidRDefault="00EF43AB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  <w:r w:rsidRPr="00F47BEE">
              <w:rPr>
                <w:rFonts w:ascii="Times New Roman" w:hAnsi="Times New Roman"/>
                <w:b/>
                <w:sz w:val="24"/>
                <w:szCs w:val="24"/>
              </w:rPr>
              <w:t>Дополнительные условия</w:t>
            </w:r>
          </w:p>
        </w:tc>
        <w:tc>
          <w:tcPr>
            <w:tcW w:w="7048" w:type="dxa"/>
            <w:shd w:val="clear" w:color="auto" w:fill="auto"/>
          </w:tcPr>
          <w:p w:rsidR="0092300C" w:rsidRPr="00F47BEE" w:rsidRDefault="00EF43AB" w:rsidP="00994AB0">
            <w:pPr>
              <w:numPr>
                <w:ilvl w:val="0"/>
                <w:numId w:val="3"/>
              </w:numPr>
              <w:spacing w:after="120" w:line="240" w:lineRule="auto"/>
              <w:ind w:left="371" w:hanging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 xml:space="preserve">Дополнительные условия использования </w:t>
            </w:r>
            <w:r w:rsidR="005260DD" w:rsidRPr="00F47BEE">
              <w:rPr>
                <w:rFonts w:ascii="Times New Roman" w:hAnsi="Times New Roman"/>
                <w:sz w:val="24"/>
                <w:szCs w:val="24"/>
              </w:rPr>
              <w:t xml:space="preserve">банковских 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 xml:space="preserve">карт </w:t>
            </w:r>
            <w:r w:rsidR="005260DD" w:rsidRPr="00F47BEE">
              <w:rPr>
                <w:rFonts w:ascii="Times New Roman" w:hAnsi="Times New Roman"/>
                <w:sz w:val="24"/>
                <w:szCs w:val="24"/>
              </w:rPr>
              <w:t>Коммерческого банка «Гарант-Инвест» (Акционерное общество)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 xml:space="preserve"> при осуществлении операций посредством мобильного платежного сервиса</w:t>
            </w:r>
          </w:p>
        </w:tc>
      </w:tr>
      <w:tr w:rsidR="00DB424B" w:rsidRPr="00F47BEE" w:rsidTr="00CD23A6">
        <w:trPr>
          <w:trHeight w:val="254"/>
        </w:trPr>
        <w:tc>
          <w:tcPr>
            <w:tcW w:w="2345" w:type="dxa"/>
            <w:shd w:val="clear" w:color="auto" w:fill="auto"/>
          </w:tcPr>
          <w:p w:rsidR="0092300C" w:rsidRPr="00F47BEE" w:rsidRDefault="00EF43AB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  <w:r w:rsidRPr="00F47BEE">
              <w:rPr>
                <w:rFonts w:ascii="Times New Roman" w:hAnsi="Times New Roman"/>
                <w:b/>
                <w:sz w:val="24"/>
                <w:szCs w:val="24"/>
              </w:rPr>
              <w:t>Клиент Банка</w:t>
            </w:r>
          </w:p>
        </w:tc>
        <w:tc>
          <w:tcPr>
            <w:tcW w:w="7048" w:type="dxa"/>
            <w:shd w:val="clear" w:color="auto" w:fill="auto"/>
          </w:tcPr>
          <w:p w:rsidR="0092300C" w:rsidRPr="00F47BEE" w:rsidRDefault="00EF43AB" w:rsidP="00994AB0">
            <w:pPr>
              <w:numPr>
                <w:ilvl w:val="0"/>
                <w:numId w:val="3"/>
              </w:numPr>
              <w:spacing w:after="120" w:line="240" w:lineRule="auto"/>
              <w:ind w:left="371" w:hanging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>физическое лицо, являющееся держателем Банковской карты и имеющее Мобильное устройство/Носимое устройство</w:t>
            </w:r>
          </w:p>
        </w:tc>
      </w:tr>
      <w:tr w:rsidR="00DB424B" w:rsidRPr="00F47BEE" w:rsidTr="00CD23A6">
        <w:trPr>
          <w:trHeight w:val="1905"/>
        </w:trPr>
        <w:tc>
          <w:tcPr>
            <w:tcW w:w="2345" w:type="dxa"/>
            <w:shd w:val="clear" w:color="auto" w:fill="auto"/>
          </w:tcPr>
          <w:p w:rsidR="0092300C" w:rsidRPr="00F47BEE" w:rsidRDefault="00EF43AB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  <w:r w:rsidRPr="00F47BEE">
              <w:rPr>
                <w:rFonts w:ascii="Times New Roman" w:hAnsi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7048" w:type="dxa"/>
            <w:shd w:val="clear" w:color="auto" w:fill="auto"/>
          </w:tcPr>
          <w:p w:rsidR="0092300C" w:rsidRPr="00F47BEE" w:rsidRDefault="00284B9D">
            <w:pPr>
              <w:numPr>
                <w:ilvl w:val="0"/>
                <w:numId w:val="3"/>
              </w:numPr>
              <w:spacing w:after="0" w:line="240" w:lineRule="auto"/>
              <w:ind w:left="369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>«</w:t>
            </w:r>
            <w:r w:rsidR="00A30C24" w:rsidRPr="00F47BEE">
              <w:rPr>
                <w:rFonts w:ascii="Times New Roman" w:hAnsi="Times New Roman"/>
                <w:sz w:val="24"/>
                <w:szCs w:val="24"/>
              </w:rPr>
              <w:t xml:space="preserve">Самсунг </w:t>
            </w:r>
            <w:proofErr w:type="spellStart"/>
            <w:r w:rsidR="00A30C24" w:rsidRPr="00F47BEE">
              <w:rPr>
                <w:rFonts w:ascii="Times New Roman" w:hAnsi="Times New Roman"/>
                <w:sz w:val="24"/>
                <w:szCs w:val="24"/>
              </w:rPr>
              <w:t>Электроникс</w:t>
            </w:r>
            <w:proofErr w:type="spellEnd"/>
            <w:r w:rsidR="00A30C24"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30C24" w:rsidRPr="00F47BEE">
              <w:rPr>
                <w:rFonts w:ascii="Times New Roman" w:hAnsi="Times New Roman"/>
                <w:sz w:val="24"/>
                <w:szCs w:val="24"/>
              </w:rPr>
              <w:t>Ко.,</w:t>
            </w:r>
            <w:proofErr w:type="gramEnd"/>
            <w:r w:rsidR="00A30C24" w:rsidRPr="00F47BEE">
              <w:rPr>
                <w:rFonts w:ascii="Times New Roman" w:hAnsi="Times New Roman"/>
                <w:sz w:val="24"/>
                <w:szCs w:val="24"/>
              </w:rPr>
              <w:t xml:space="preserve"> Лтд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>»</w:t>
            </w:r>
            <w:r w:rsidR="00A30C24" w:rsidRPr="00F47BE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A30C24" w:rsidRPr="00F47BEE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="00A30C24"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C24" w:rsidRPr="00F47BEE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="00A30C24"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C24" w:rsidRPr="00F47BEE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="00A30C24" w:rsidRPr="00F47BE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A30C24" w:rsidRPr="00F47BEE">
              <w:rPr>
                <w:rFonts w:ascii="Times New Roman" w:hAnsi="Times New Roman"/>
                <w:sz w:val="24"/>
                <w:szCs w:val="24"/>
              </w:rPr>
              <w:t>Ltd</w:t>
            </w:r>
            <w:proofErr w:type="spellEnd"/>
            <w:r w:rsidR="00A30C24" w:rsidRPr="00F47BEE">
              <w:rPr>
                <w:rFonts w:ascii="Times New Roman" w:hAnsi="Times New Roman"/>
                <w:sz w:val="24"/>
                <w:szCs w:val="24"/>
              </w:rPr>
              <w:t xml:space="preserve">, регистрационный номер: 130111-0006246, зарегистрированная по адресу: </w:t>
            </w:r>
            <w:proofErr w:type="spellStart"/>
            <w:r w:rsidR="00A30C24" w:rsidRPr="00F47BEE">
              <w:rPr>
                <w:rFonts w:ascii="Times New Roman" w:hAnsi="Times New Roman"/>
                <w:sz w:val="24"/>
                <w:szCs w:val="24"/>
              </w:rPr>
              <w:t>Маетан</w:t>
            </w:r>
            <w:proofErr w:type="spellEnd"/>
            <w:r w:rsidR="00A30C24" w:rsidRPr="00F47BEE">
              <w:rPr>
                <w:rFonts w:ascii="Times New Roman" w:hAnsi="Times New Roman"/>
                <w:sz w:val="24"/>
                <w:szCs w:val="24"/>
              </w:rPr>
              <w:t>-донг, 129, Самсунг-</w:t>
            </w:r>
            <w:proofErr w:type="spellStart"/>
            <w:r w:rsidR="00A30C24" w:rsidRPr="00F47BEE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="00A30C24" w:rsidRPr="00F47B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0C24" w:rsidRPr="00F47BEE">
              <w:rPr>
                <w:rFonts w:ascii="Times New Roman" w:hAnsi="Times New Roman"/>
                <w:sz w:val="24"/>
                <w:szCs w:val="24"/>
              </w:rPr>
              <w:t>Йонгтонг-гу</w:t>
            </w:r>
            <w:proofErr w:type="spellEnd"/>
            <w:r w:rsidR="00A30C24" w:rsidRPr="00F47B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0C24" w:rsidRPr="00F47BEE">
              <w:rPr>
                <w:rFonts w:ascii="Times New Roman" w:hAnsi="Times New Roman"/>
                <w:sz w:val="24"/>
                <w:szCs w:val="24"/>
              </w:rPr>
              <w:t>Сувон</w:t>
            </w:r>
            <w:proofErr w:type="spellEnd"/>
            <w:r w:rsidR="00A30C24" w:rsidRPr="00F47BEE">
              <w:rPr>
                <w:rFonts w:ascii="Times New Roman" w:hAnsi="Times New Roman"/>
                <w:sz w:val="24"/>
                <w:szCs w:val="24"/>
              </w:rPr>
              <w:t xml:space="preserve">-си, </w:t>
            </w:r>
            <w:proofErr w:type="spellStart"/>
            <w:r w:rsidR="00A30C24" w:rsidRPr="00F47BEE">
              <w:rPr>
                <w:rFonts w:ascii="Times New Roman" w:hAnsi="Times New Roman"/>
                <w:sz w:val="24"/>
                <w:szCs w:val="24"/>
              </w:rPr>
              <w:t>Гиёнги</w:t>
            </w:r>
            <w:proofErr w:type="spellEnd"/>
            <w:r w:rsidR="00A30C24" w:rsidRPr="00F47BEE">
              <w:rPr>
                <w:rFonts w:ascii="Times New Roman" w:hAnsi="Times New Roman"/>
                <w:sz w:val="24"/>
                <w:szCs w:val="24"/>
              </w:rPr>
              <w:t>-до, Республика Корея</w:t>
            </w:r>
            <w:r w:rsidR="0087352B"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3AB" w:rsidRPr="00F47BEE">
              <w:rPr>
                <w:rFonts w:ascii="Times New Roman" w:hAnsi="Times New Roman"/>
                <w:sz w:val="24"/>
                <w:szCs w:val="24"/>
              </w:rPr>
              <w:t xml:space="preserve">«ЭППЛ ДИСТРИБЬЮШН ИНТЕРНЭШНЛ», ирландская корпорация с неограниченной ответственностью, с местонахождением основного коммерческого предприятия по адресу: Промышленная зона </w:t>
            </w:r>
            <w:proofErr w:type="spellStart"/>
            <w:r w:rsidR="00EF43AB" w:rsidRPr="00F47BEE">
              <w:rPr>
                <w:rFonts w:ascii="Times New Roman" w:hAnsi="Times New Roman"/>
                <w:sz w:val="24"/>
                <w:szCs w:val="24"/>
              </w:rPr>
              <w:t>Холли</w:t>
            </w:r>
            <w:proofErr w:type="spellEnd"/>
            <w:r w:rsidR="00EF43AB" w:rsidRPr="00F47BEE">
              <w:rPr>
                <w:rFonts w:ascii="Times New Roman" w:hAnsi="Times New Roman"/>
                <w:sz w:val="24"/>
                <w:szCs w:val="24"/>
              </w:rPr>
              <w:t xml:space="preserve"> Хилл, </w:t>
            </w:r>
            <w:proofErr w:type="spellStart"/>
            <w:r w:rsidR="00EF43AB" w:rsidRPr="00F47BEE">
              <w:rPr>
                <w:rFonts w:ascii="Times New Roman" w:hAnsi="Times New Roman"/>
                <w:sz w:val="24"/>
                <w:szCs w:val="24"/>
              </w:rPr>
              <w:t>Корк</w:t>
            </w:r>
            <w:proofErr w:type="spellEnd"/>
            <w:r w:rsidR="00EF43AB" w:rsidRPr="00F47BEE">
              <w:rPr>
                <w:rFonts w:ascii="Times New Roman" w:hAnsi="Times New Roman"/>
                <w:sz w:val="24"/>
                <w:szCs w:val="24"/>
              </w:rPr>
              <w:t>, Ирландия;</w:t>
            </w:r>
          </w:p>
          <w:p w:rsidR="00F81CBC" w:rsidRPr="00F47BEE" w:rsidRDefault="00EF43AB" w:rsidP="00994AB0">
            <w:pPr>
              <w:numPr>
                <w:ilvl w:val="0"/>
                <w:numId w:val="3"/>
              </w:numPr>
              <w:spacing w:after="0" w:line="240" w:lineRule="auto"/>
              <w:ind w:left="369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 xml:space="preserve">Корпорация </w:t>
            </w:r>
            <w:r w:rsidRPr="00F47BEE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  <w:lang w:val="en-US"/>
              </w:rPr>
              <w:t>Inc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>., с местонахождением по адресу: США: Маунтин-Вью, Калифорния;</w:t>
            </w:r>
          </w:p>
          <w:p w:rsidR="00F440C2" w:rsidRPr="00F47BEE" w:rsidRDefault="00EF43AB" w:rsidP="00994AB0">
            <w:pPr>
              <w:numPr>
                <w:ilvl w:val="0"/>
                <w:numId w:val="3"/>
              </w:numPr>
              <w:spacing w:after="0" w:line="240" w:lineRule="auto"/>
              <w:ind w:left="369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Компания </w:t>
            </w:r>
            <w:r w:rsidRPr="00F47BEE">
              <w:rPr>
                <w:rFonts w:ascii="Times New Roman" w:hAnsi="Times New Roman"/>
                <w:sz w:val="24"/>
                <w:szCs w:val="24"/>
                <w:lang w:val="en-US"/>
              </w:rPr>
              <w:t>Garmin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BEE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 xml:space="preserve">., с местонахождением по адресу: США: 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Олэт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 xml:space="preserve"> (штат Канзас).</w:t>
            </w:r>
          </w:p>
          <w:p w:rsidR="00890C1F" w:rsidRPr="00F47BEE" w:rsidRDefault="00890C1F" w:rsidP="00801DB0">
            <w:pPr>
              <w:numPr>
                <w:ilvl w:val="0"/>
                <w:numId w:val="3"/>
              </w:numPr>
              <w:spacing w:after="0" w:line="240" w:lineRule="auto"/>
              <w:ind w:left="369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Бесконтакт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>», с местонахождением по адресу: 197110, г. Санкт-Петербург,</w:t>
            </w:r>
            <w:r w:rsidR="00801DB0"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Лодейнопольская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>,</w:t>
            </w:r>
            <w:r w:rsidR="00801DB0"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>д.5,</w:t>
            </w:r>
            <w:r w:rsidR="00801DB0"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 xml:space="preserve">литера А, офис 713 </w:t>
            </w:r>
          </w:p>
          <w:p w:rsidR="00890C1F" w:rsidRPr="00F47BEE" w:rsidRDefault="00890C1F" w:rsidP="00F47BEE">
            <w:pPr>
              <w:spacing w:after="0" w:line="240" w:lineRule="auto"/>
              <w:ind w:left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 xml:space="preserve">Компания является владельцем Мобильного платежного </w:t>
            </w:r>
            <w:r w:rsidR="00F47BE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>сервиса</w:t>
            </w:r>
          </w:p>
          <w:p w:rsidR="00890C1F" w:rsidRPr="00F47BEE" w:rsidRDefault="00890C1F" w:rsidP="00890C1F">
            <w:pPr>
              <w:numPr>
                <w:ilvl w:val="0"/>
                <w:numId w:val="3"/>
              </w:numPr>
              <w:spacing w:after="0" w:line="240" w:lineRule="auto"/>
              <w:ind w:left="369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«Национальная система платежных карт», юридический адрес: </w:t>
            </w:r>
            <w:r w:rsidR="00691A71">
              <w:rPr>
                <w:rFonts w:ascii="Times New Roman" w:hAnsi="Times New Roman"/>
                <w:sz w:val="24"/>
                <w:szCs w:val="24"/>
              </w:rPr>
              <w:t xml:space="preserve">115184, г. Москва, ул. Татарская 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>д.11</w:t>
            </w:r>
          </w:p>
          <w:p w:rsidR="0092300C" w:rsidRPr="00F47BEE" w:rsidRDefault="00EF43AB" w:rsidP="00994AB0">
            <w:pPr>
              <w:spacing w:after="120" w:line="240" w:lineRule="auto"/>
              <w:ind w:left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>Компания является владельцем Мобильного платежного сервиса</w:t>
            </w:r>
          </w:p>
        </w:tc>
      </w:tr>
      <w:tr w:rsidR="00DB424B" w:rsidRPr="00F47BEE" w:rsidTr="00CD23A6">
        <w:trPr>
          <w:trHeight w:val="254"/>
        </w:trPr>
        <w:tc>
          <w:tcPr>
            <w:tcW w:w="2345" w:type="dxa"/>
            <w:shd w:val="clear" w:color="auto" w:fill="auto"/>
          </w:tcPr>
          <w:p w:rsidR="0092300C" w:rsidRPr="00F47BEE" w:rsidRDefault="00EF43AB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  <w:r w:rsidRPr="00F47B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Мобильное устройство</w:t>
            </w:r>
          </w:p>
        </w:tc>
        <w:tc>
          <w:tcPr>
            <w:tcW w:w="7048" w:type="dxa"/>
            <w:shd w:val="clear" w:color="auto" w:fill="auto"/>
          </w:tcPr>
          <w:p w:rsidR="0092300C" w:rsidRPr="00F47BEE" w:rsidRDefault="00EF43AB" w:rsidP="00994AB0">
            <w:pPr>
              <w:numPr>
                <w:ilvl w:val="0"/>
                <w:numId w:val="3"/>
              </w:numPr>
              <w:spacing w:after="120" w:line="240" w:lineRule="auto"/>
              <w:ind w:left="371" w:hanging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>устройства (смартфон, планшет, ноутбуки</w:t>
            </w:r>
            <w:r w:rsidR="00284B9D" w:rsidRPr="00F47BEE">
              <w:rPr>
                <w:rFonts w:ascii="Times New Roman" w:hAnsi="Times New Roman"/>
                <w:sz w:val="24"/>
                <w:szCs w:val="24"/>
              </w:rPr>
              <w:t>,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 xml:space="preserve"> др.) с поддержкой технологии NFC</w:t>
            </w:r>
            <w:r w:rsidR="00A30C24" w:rsidRPr="00F47BEE">
              <w:rPr>
                <w:rFonts w:ascii="Times New Roman" w:hAnsi="Times New Roman"/>
                <w:sz w:val="24"/>
                <w:szCs w:val="24"/>
              </w:rPr>
              <w:t xml:space="preserve"> и Мобильного платежного сервиса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>, актуальный список которых доступен на сайте Компании</w:t>
            </w:r>
          </w:p>
        </w:tc>
      </w:tr>
      <w:tr w:rsidR="00DB424B" w:rsidRPr="00F47BEE" w:rsidTr="00CD23A6">
        <w:trPr>
          <w:trHeight w:val="254"/>
        </w:trPr>
        <w:tc>
          <w:tcPr>
            <w:tcW w:w="2345" w:type="dxa"/>
            <w:shd w:val="clear" w:color="auto" w:fill="auto"/>
          </w:tcPr>
          <w:p w:rsidR="0092300C" w:rsidRPr="00F47BEE" w:rsidRDefault="00EF43AB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  <w:r w:rsidRPr="00F47BEE">
              <w:rPr>
                <w:rFonts w:ascii="Times New Roman" w:hAnsi="Times New Roman"/>
                <w:b/>
                <w:sz w:val="24"/>
                <w:szCs w:val="24"/>
              </w:rPr>
              <w:t>Мобильный платежный сервис</w:t>
            </w:r>
          </w:p>
        </w:tc>
        <w:tc>
          <w:tcPr>
            <w:tcW w:w="7048" w:type="dxa"/>
            <w:shd w:val="clear" w:color="auto" w:fill="auto"/>
          </w:tcPr>
          <w:p w:rsidR="0092300C" w:rsidRPr="00F47BEE" w:rsidRDefault="00EF43AB" w:rsidP="00FF34CE">
            <w:pPr>
              <w:numPr>
                <w:ilvl w:val="0"/>
                <w:numId w:val="3"/>
              </w:numPr>
              <w:spacing w:after="120" w:line="240" w:lineRule="auto"/>
              <w:ind w:left="371" w:hanging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>мобильный платежный сервис «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Pay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>» и/или мобильный платежный сервис «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Apple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Pay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>» и/или мобильный платежный сервис «</w:t>
            </w:r>
            <w:r w:rsidRPr="00F47BEE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BEE">
              <w:rPr>
                <w:rFonts w:ascii="Times New Roman" w:hAnsi="Times New Roman"/>
                <w:sz w:val="24"/>
                <w:szCs w:val="24"/>
                <w:lang w:val="en-US"/>
              </w:rPr>
              <w:t>Pay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F34CE" w:rsidRPr="00F47BEE">
              <w:rPr>
                <w:rFonts w:ascii="Times New Roman" w:hAnsi="Times New Roman"/>
                <w:sz w:val="24"/>
                <w:szCs w:val="24"/>
              </w:rPr>
              <w:t>и/или мобильный платежный сервис «</w:t>
            </w:r>
            <w:r w:rsidR="00FF34CE" w:rsidRPr="00F47BEE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="00FF34CE"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4CE" w:rsidRPr="00F47BEE">
              <w:rPr>
                <w:rFonts w:ascii="Times New Roman" w:hAnsi="Times New Roman"/>
                <w:sz w:val="24"/>
                <w:szCs w:val="24"/>
                <w:lang w:val="en-US"/>
              </w:rPr>
              <w:t>Pay</w:t>
            </w:r>
            <w:r w:rsidR="00FF34CE" w:rsidRPr="00F47BE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>и/или мобильный платежный сервис «</w:t>
            </w:r>
            <w:r w:rsidRPr="00F47BEE">
              <w:rPr>
                <w:rFonts w:ascii="Times New Roman" w:hAnsi="Times New Roman"/>
                <w:sz w:val="24"/>
                <w:szCs w:val="24"/>
                <w:lang w:val="en-US"/>
              </w:rPr>
              <w:t>Garmin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BEE">
              <w:rPr>
                <w:rFonts w:ascii="Times New Roman" w:hAnsi="Times New Roman"/>
                <w:sz w:val="24"/>
                <w:szCs w:val="24"/>
                <w:lang w:val="en-US"/>
              </w:rPr>
              <w:t>Pay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>»</w:t>
            </w:r>
            <w:r w:rsidR="00FF34CE" w:rsidRPr="00F47BEE">
              <w:rPr>
                <w:rFonts w:ascii="Times New Roman" w:hAnsi="Times New Roman"/>
                <w:sz w:val="24"/>
                <w:szCs w:val="24"/>
              </w:rPr>
              <w:t xml:space="preserve"> (мобильное приложение Компании) и/или мобильный платежный сервис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4CE" w:rsidRPr="00F47BEE">
              <w:rPr>
                <w:rFonts w:ascii="Times New Roman" w:hAnsi="Times New Roman"/>
                <w:sz w:val="24"/>
                <w:szCs w:val="24"/>
              </w:rPr>
              <w:t>«</w:t>
            </w:r>
            <w:r w:rsidR="00FF34CE" w:rsidRPr="00F47BEE">
              <w:rPr>
                <w:rFonts w:ascii="Times New Roman" w:hAnsi="Times New Roman"/>
                <w:sz w:val="24"/>
                <w:szCs w:val="24"/>
                <w:lang w:val="en-US"/>
              </w:rPr>
              <w:t>Mir</w:t>
            </w:r>
            <w:r w:rsidR="00FF34CE"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4CE" w:rsidRPr="00F47BEE">
              <w:rPr>
                <w:rFonts w:ascii="Times New Roman" w:hAnsi="Times New Roman"/>
                <w:sz w:val="24"/>
                <w:szCs w:val="24"/>
                <w:lang w:val="en-US"/>
              </w:rPr>
              <w:t>Pay</w:t>
            </w:r>
            <w:r w:rsidR="00FF34CE" w:rsidRPr="00F47BEE">
              <w:rPr>
                <w:rFonts w:ascii="Times New Roman" w:hAnsi="Times New Roman"/>
                <w:sz w:val="24"/>
                <w:szCs w:val="24"/>
              </w:rPr>
              <w:t xml:space="preserve">» и/или мобильный платежный сервис «Кошелек </w:t>
            </w:r>
            <w:r w:rsidR="00FF34CE" w:rsidRPr="00F47BEE">
              <w:rPr>
                <w:rFonts w:ascii="Times New Roman" w:hAnsi="Times New Roman"/>
                <w:sz w:val="24"/>
                <w:szCs w:val="24"/>
                <w:lang w:val="en-US"/>
              </w:rPr>
              <w:t>Pay</w:t>
            </w:r>
            <w:r w:rsidR="00FF34CE" w:rsidRPr="00F47BEE">
              <w:rPr>
                <w:rFonts w:ascii="Times New Roman" w:hAnsi="Times New Roman"/>
                <w:sz w:val="24"/>
                <w:szCs w:val="24"/>
              </w:rPr>
              <w:t>»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>, обеспечивающий совершение Клиентами Банка операций с использованием Банковских карт и Мобильных устройств и/или Носимых устройств</w:t>
            </w:r>
          </w:p>
        </w:tc>
      </w:tr>
      <w:tr w:rsidR="00DB424B" w:rsidRPr="00F47BEE" w:rsidTr="00CD23A6">
        <w:trPr>
          <w:trHeight w:val="254"/>
        </w:trPr>
        <w:tc>
          <w:tcPr>
            <w:tcW w:w="2345" w:type="dxa"/>
            <w:shd w:val="clear" w:color="auto" w:fill="auto"/>
          </w:tcPr>
          <w:p w:rsidR="00EE2F97" w:rsidRPr="00F47BEE" w:rsidRDefault="00EF43AB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  <w:r w:rsidRPr="00F47BEE">
              <w:rPr>
                <w:rFonts w:ascii="Times New Roman" w:hAnsi="Times New Roman"/>
                <w:b/>
                <w:sz w:val="24"/>
                <w:szCs w:val="24"/>
              </w:rPr>
              <w:t>Носимое устройство</w:t>
            </w:r>
          </w:p>
          <w:p w:rsidR="00FF34CE" w:rsidRPr="00F47BEE" w:rsidRDefault="00FF34CE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4CE" w:rsidRPr="00F47BEE" w:rsidRDefault="00FF34CE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4CE" w:rsidRPr="00F47BEE" w:rsidRDefault="00FF34CE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4CE" w:rsidRPr="00F47BEE" w:rsidRDefault="00FF34CE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  <w:r w:rsidRPr="00F47BEE">
              <w:rPr>
                <w:rFonts w:ascii="Times New Roman" w:hAnsi="Times New Roman"/>
                <w:b/>
                <w:sz w:val="24"/>
                <w:szCs w:val="24"/>
              </w:rPr>
              <w:t>Отпечаток пальца</w:t>
            </w:r>
          </w:p>
        </w:tc>
        <w:tc>
          <w:tcPr>
            <w:tcW w:w="7048" w:type="dxa"/>
            <w:shd w:val="clear" w:color="auto" w:fill="auto"/>
          </w:tcPr>
          <w:p w:rsidR="00EE2F97" w:rsidRPr="00F47BEE" w:rsidRDefault="00EF43AB" w:rsidP="00994AB0">
            <w:pPr>
              <w:numPr>
                <w:ilvl w:val="0"/>
                <w:numId w:val="3"/>
              </w:numPr>
              <w:spacing w:after="120" w:line="240" w:lineRule="auto"/>
              <w:ind w:left="371" w:hanging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 xml:space="preserve">принадлежащее Клиенту Банка электронное носимое устройство (часы, браслет, кольцо и др.), поддерживающее технологию </w:t>
            </w:r>
            <w:r w:rsidRPr="00F47BEE">
              <w:rPr>
                <w:rFonts w:ascii="Times New Roman" w:hAnsi="Times New Roman"/>
                <w:sz w:val="24"/>
                <w:szCs w:val="24"/>
                <w:lang w:val="en-US"/>
              </w:rPr>
              <w:t>NFC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 xml:space="preserve"> и Мобильный платежный сервис («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Pay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Apple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Pay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F47BEE">
              <w:rPr>
                <w:rFonts w:ascii="Times New Roman" w:hAnsi="Times New Roman"/>
                <w:sz w:val="24"/>
                <w:szCs w:val="24"/>
                <w:lang w:val="en-US"/>
              </w:rPr>
              <w:t>Garmin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BEE">
              <w:rPr>
                <w:rFonts w:ascii="Times New Roman" w:hAnsi="Times New Roman"/>
                <w:sz w:val="24"/>
                <w:szCs w:val="24"/>
                <w:lang w:val="en-US"/>
              </w:rPr>
              <w:t>Pay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>»</w:t>
            </w:r>
            <w:r w:rsidR="00DB424B" w:rsidRPr="00F47BEE">
              <w:rPr>
                <w:rFonts w:ascii="Times New Roman" w:hAnsi="Times New Roman"/>
                <w:sz w:val="24"/>
                <w:szCs w:val="24"/>
              </w:rPr>
              <w:t>)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34CE" w:rsidRPr="00F47BEE" w:rsidRDefault="00FF34CE" w:rsidP="00FF34CE">
            <w:pPr>
              <w:numPr>
                <w:ilvl w:val="0"/>
                <w:numId w:val="3"/>
              </w:numPr>
              <w:spacing w:after="120" w:line="240" w:lineRule="auto"/>
              <w:ind w:left="371" w:hanging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>цифровое представление рисунка кожи на пальце руки Клиента Банка. Отпечаток пальца при совершении Клиентом Банка операции с использованием Банковской карты посредством Мобильного платежного сервиса признается простой электронной подписью Клиента Банка и может использоваться многократно</w:t>
            </w:r>
          </w:p>
        </w:tc>
      </w:tr>
      <w:tr w:rsidR="00DB424B" w:rsidRPr="00F47BEE" w:rsidTr="00CD23A6">
        <w:trPr>
          <w:trHeight w:val="254"/>
        </w:trPr>
        <w:tc>
          <w:tcPr>
            <w:tcW w:w="2345" w:type="dxa"/>
            <w:shd w:val="clear" w:color="auto" w:fill="auto"/>
          </w:tcPr>
          <w:p w:rsidR="0092300C" w:rsidRPr="00F47BEE" w:rsidRDefault="00EF43AB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  <w:r w:rsidRPr="00F47BEE">
              <w:rPr>
                <w:rFonts w:ascii="Times New Roman" w:hAnsi="Times New Roman"/>
                <w:b/>
                <w:sz w:val="24"/>
                <w:szCs w:val="24"/>
              </w:rPr>
              <w:t>Пароль</w:t>
            </w:r>
          </w:p>
        </w:tc>
        <w:tc>
          <w:tcPr>
            <w:tcW w:w="7048" w:type="dxa"/>
            <w:shd w:val="clear" w:color="auto" w:fill="auto"/>
          </w:tcPr>
          <w:p w:rsidR="0092300C" w:rsidRPr="00F47BEE" w:rsidRDefault="00EF43AB">
            <w:pPr>
              <w:numPr>
                <w:ilvl w:val="0"/>
                <w:numId w:val="3"/>
              </w:numPr>
              <w:spacing w:after="120" w:line="240" w:lineRule="auto"/>
              <w:ind w:left="371" w:hanging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 xml:space="preserve">уникальная для каждого Мобильного устройства/Носимого устройства Клиента Банка последовательность цифр, устанавливаемая Клиентом Банка для выбранного Мобильного устройства/Носимого устройства и используемая для </w:t>
            </w:r>
            <w:r w:rsidR="00CD23A6" w:rsidRPr="00F47BEE">
              <w:rPr>
                <w:rFonts w:ascii="Times New Roman" w:hAnsi="Times New Roman"/>
                <w:sz w:val="24"/>
                <w:szCs w:val="24"/>
              </w:rPr>
              <w:t>Проверки Клиента Банка. Пароль признается простой электронной подписью Клиента Банка и может использоваться многократно</w:t>
            </w:r>
          </w:p>
        </w:tc>
      </w:tr>
      <w:tr w:rsidR="00DB424B" w:rsidRPr="00F47BEE" w:rsidTr="00CD23A6">
        <w:trPr>
          <w:trHeight w:val="254"/>
        </w:trPr>
        <w:tc>
          <w:tcPr>
            <w:tcW w:w="2345" w:type="dxa"/>
            <w:shd w:val="clear" w:color="auto" w:fill="auto"/>
          </w:tcPr>
          <w:p w:rsidR="0092300C" w:rsidRPr="00F47BEE" w:rsidRDefault="00EF43AB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  <w:r w:rsidRPr="00F47BEE">
              <w:rPr>
                <w:rFonts w:ascii="Times New Roman" w:hAnsi="Times New Roman"/>
                <w:b/>
                <w:sz w:val="24"/>
                <w:szCs w:val="24"/>
              </w:rPr>
              <w:t>Платежная система</w:t>
            </w:r>
          </w:p>
        </w:tc>
        <w:tc>
          <w:tcPr>
            <w:tcW w:w="7048" w:type="dxa"/>
            <w:shd w:val="clear" w:color="auto" w:fill="auto"/>
          </w:tcPr>
          <w:p w:rsidR="0092300C" w:rsidRPr="00F47BEE" w:rsidRDefault="00EF43AB" w:rsidP="00994AB0">
            <w:pPr>
              <w:numPr>
                <w:ilvl w:val="0"/>
                <w:numId w:val="3"/>
              </w:numPr>
              <w:spacing w:after="120" w:line="240" w:lineRule="auto"/>
              <w:ind w:left="371" w:hanging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>система расчетов между банками разных стран, которые используют единые стандарты платежных средств (международные платежные системы «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Visa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>.» или «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MasterCard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BEE">
              <w:rPr>
                <w:rFonts w:ascii="Times New Roman" w:hAnsi="Times New Roman"/>
                <w:sz w:val="24"/>
                <w:szCs w:val="24"/>
              </w:rPr>
              <w:t>Worldwide</w:t>
            </w:r>
            <w:proofErr w:type="spellEnd"/>
            <w:r w:rsidRPr="00F47BEE">
              <w:rPr>
                <w:rFonts w:ascii="Times New Roman" w:hAnsi="Times New Roman"/>
                <w:sz w:val="24"/>
                <w:szCs w:val="24"/>
              </w:rPr>
              <w:t>»</w:t>
            </w:r>
            <w:r w:rsidR="00CD23A6" w:rsidRPr="00F47BEE">
              <w:rPr>
                <w:rFonts w:ascii="Times New Roman" w:hAnsi="Times New Roman"/>
                <w:sz w:val="24"/>
                <w:szCs w:val="24"/>
              </w:rPr>
              <w:t xml:space="preserve"> и национальная платежная система «МИР»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424B" w:rsidRPr="00F47BEE" w:rsidTr="00CD23A6">
        <w:trPr>
          <w:trHeight w:val="254"/>
        </w:trPr>
        <w:tc>
          <w:tcPr>
            <w:tcW w:w="2345" w:type="dxa"/>
            <w:shd w:val="clear" w:color="auto" w:fill="auto"/>
          </w:tcPr>
          <w:p w:rsidR="0092300C" w:rsidRPr="00F47BEE" w:rsidRDefault="00EF43AB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BEE">
              <w:rPr>
                <w:rFonts w:ascii="Times New Roman" w:hAnsi="Times New Roman"/>
                <w:b/>
                <w:sz w:val="24"/>
                <w:szCs w:val="24"/>
              </w:rPr>
              <w:t>Токен</w:t>
            </w:r>
            <w:proofErr w:type="spellEnd"/>
          </w:p>
        </w:tc>
        <w:tc>
          <w:tcPr>
            <w:tcW w:w="7048" w:type="dxa"/>
            <w:shd w:val="clear" w:color="auto" w:fill="auto"/>
          </w:tcPr>
          <w:p w:rsidR="0087352B" w:rsidRPr="00F47BEE" w:rsidRDefault="00EF43AB" w:rsidP="00CD23A6">
            <w:pPr>
              <w:numPr>
                <w:ilvl w:val="0"/>
                <w:numId w:val="3"/>
              </w:numPr>
              <w:spacing w:after="120" w:line="240" w:lineRule="auto"/>
              <w:ind w:left="371" w:hanging="4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 xml:space="preserve">цифровой код Карты, который формируется </w:t>
            </w:r>
            <w:r w:rsidR="00CD23A6" w:rsidRPr="00F47BEE">
              <w:rPr>
                <w:rFonts w:ascii="Times New Roman" w:hAnsi="Times New Roman"/>
                <w:sz w:val="24"/>
                <w:szCs w:val="24"/>
              </w:rPr>
              <w:t>Компанией</w:t>
            </w:r>
            <w:r w:rsidR="00A30C24" w:rsidRPr="00F4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BEE">
              <w:rPr>
                <w:rFonts w:ascii="Times New Roman" w:hAnsi="Times New Roman"/>
                <w:sz w:val="24"/>
                <w:szCs w:val="24"/>
              </w:rPr>
              <w:t>после регистрации Клиентом Банка Банковской карты в Мобильном платежном сервисе</w:t>
            </w:r>
            <w:r w:rsidR="0087352B" w:rsidRPr="00F47B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0C24" w:rsidRPr="00F47BEE">
              <w:rPr>
                <w:rFonts w:ascii="Times New Roman" w:hAnsi="Times New Roman"/>
                <w:sz w:val="24"/>
                <w:szCs w:val="24"/>
              </w:rPr>
              <w:t xml:space="preserve">безопасно хранится в Мобильном </w:t>
            </w:r>
            <w:r w:rsidR="00A30C24" w:rsidRPr="00F47BEE">
              <w:rPr>
                <w:rFonts w:ascii="Times New Roman" w:hAnsi="Times New Roman"/>
                <w:sz w:val="24"/>
                <w:szCs w:val="24"/>
              </w:rPr>
              <w:lastRenderedPageBreak/>
              <w:t>устройстве/Носимом устройстве и используется для совершения платежных операций</w:t>
            </w:r>
          </w:p>
        </w:tc>
      </w:tr>
      <w:tr w:rsidR="00DB424B" w:rsidRPr="00F47BEE" w:rsidTr="00CD23A6">
        <w:trPr>
          <w:trHeight w:val="254"/>
        </w:trPr>
        <w:tc>
          <w:tcPr>
            <w:tcW w:w="2345" w:type="dxa"/>
            <w:shd w:val="clear" w:color="auto" w:fill="auto"/>
          </w:tcPr>
          <w:p w:rsidR="0092300C" w:rsidRPr="00F47BEE" w:rsidRDefault="00EF43AB" w:rsidP="00994AB0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</w:rPr>
            </w:pPr>
            <w:r w:rsidRPr="00F47B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7048" w:type="dxa"/>
            <w:shd w:val="clear" w:color="auto" w:fill="auto"/>
          </w:tcPr>
          <w:p w:rsidR="0092300C" w:rsidRPr="00F47BEE" w:rsidRDefault="00EF43AB" w:rsidP="00994AB0">
            <w:pPr>
              <w:numPr>
                <w:ilvl w:val="0"/>
                <w:numId w:val="3"/>
              </w:numPr>
              <w:spacing w:after="120" w:line="240" w:lineRule="auto"/>
              <w:ind w:left="371" w:hanging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EE">
              <w:rPr>
                <w:rFonts w:ascii="Times New Roman" w:hAnsi="Times New Roman"/>
                <w:sz w:val="24"/>
                <w:szCs w:val="24"/>
              </w:rPr>
              <w:t>предоставление Банком Клиенту Банка возможности проведения операций с использованием Банковской карты посредством Мобильного платежного сервиса в рамках Дополнительных условий</w:t>
            </w:r>
          </w:p>
        </w:tc>
      </w:tr>
    </w:tbl>
    <w:p w:rsidR="00164141" w:rsidRPr="00F47BEE" w:rsidRDefault="00EF43AB" w:rsidP="00F47BEE">
      <w:pPr>
        <w:spacing w:after="120" w:line="240" w:lineRule="auto"/>
        <w:ind w:left="-14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 xml:space="preserve">В настоящих Дополнительных условиях используются термины и определения, установленные Правилами, Условиями, если в тексте настоящих Дополнительных условий явно </w:t>
      </w:r>
      <w:proofErr w:type="gramStart"/>
      <w:r w:rsidRPr="00F47BEE">
        <w:rPr>
          <w:rFonts w:ascii="Times New Roman" w:hAnsi="Times New Roman"/>
          <w:sz w:val="24"/>
          <w:szCs w:val="24"/>
          <w:lang w:eastAsia="ru-RU"/>
        </w:rPr>
        <w:t>не установлено</w:t>
      </w:r>
      <w:proofErr w:type="gramEnd"/>
      <w:r w:rsidRPr="00F47BEE">
        <w:rPr>
          <w:rFonts w:ascii="Times New Roman" w:hAnsi="Times New Roman"/>
          <w:sz w:val="24"/>
          <w:szCs w:val="24"/>
          <w:lang w:eastAsia="ru-RU"/>
        </w:rPr>
        <w:t xml:space="preserve"> иное.</w:t>
      </w:r>
    </w:p>
    <w:p w:rsidR="00A07F1F" w:rsidRPr="00F47BEE" w:rsidRDefault="00EF43AB" w:rsidP="002968F6">
      <w:pPr>
        <w:pStyle w:val="a"/>
        <w:ind w:hanging="1237"/>
        <w:rPr>
          <w:rFonts w:ascii="Times New Roman" w:hAnsi="Times New Roman"/>
          <w:sz w:val="24"/>
          <w:szCs w:val="24"/>
        </w:rPr>
      </w:pPr>
      <w:r w:rsidRPr="00F47BEE">
        <w:rPr>
          <w:rFonts w:ascii="Times New Roman" w:hAnsi="Times New Roman"/>
          <w:bCs/>
          <w:sz w:val="24"/>
          <w:szCs w:val="24"/>
        </w:rPr>
        <w:t>общие положения</w:t>
      </w:r>
    </w:p>
    <w:p w:rsidR="00F47BEE" w:rsidRPr="00F47BEE" w:rsidRDefault="00F47BEE" w:rsidP="00F47BEE">
      <w:pPr>
        <w:pStyle w:val="a0"/>
        <w:numPr>
          <w:ilvl w:val="0"/>
          <w:numId w:val="0"/>
        </w:numPr>
        <w:ind w:left="-186"/>
        <w:rPr>
          <w:rFonts w:ascii="Times New Roman" w:hAnsi="Times New Roman"/>
          <w:color w:val="000000"/>
          <w:sz w:val="24"/>
          <w:szCs w:val="24"/>
        </w:rPr>
      </w:pPr>
    </w:p>
    <w:p w:rsidR="00E11362" w:rsidRPr="00F47BEE" w:rsidRDefault="00EF43AB" w:rsidP="00F47BEE">
      <w:pPr>
        <w:pStyle w:val="a0"/>
        <w:numPr>
          <w:ilvl w:val="0"/>
          <w:numId w:val="0"/>
        </w:numPr>
        <w:ind w:left="-186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Клиент Банка присоединяется к настоящим Дополнительным условиям в соответствии со ст.428 Гражданского кодекса Российской Федерации в момент регистрации Клиентом Банка Банковской карты в Мобильном платежном сервисе и совершения действий, предусмотренных п.3.4 настоящих Дополнительных условий. При этом фиксация присоединения Клиента Банка к настоящим Дополнительным условиям осуществляется Банком в электронном виде в программном обеспечении Банка в момент получения акцепта Клиентом Банка настоящих Дополнительных условий.</w:t>
      </w:r>
    </w:p>
    <w:p w:rsidR="00281FD7" w:rsidRPr="00F47BEE" w:rsidRDefault="00EF43AB" w:rsidP="0084223E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 xml:space="preserve">Акцепт Клиентом Банка настоящих Дополнительных условий означает, что Клиент Банка </w:t>
      </w:r>
      <w:r w:rsidRPr="00F47BEE">
        <w:rPr>
          <w:rFonts w:ascii="Times New Roman" w:hAnsi="Times New Roman"/>
          <w:sz w:val="24"/>
          <w:szCs w:val="24"/>
        </w:rPr>
        <w:t xml:space="preserve">ознакомлен и согласен с настоящими Дополнительными условиями, а также </w:t>
      </w:r>
      <w:r w:rsidRPr="00F47BEE">
        <w:rPr>
          <w:rFonts w:ascii="Times New Roman" w:hAnsi="Times New Roman"/>
          <w:color w:val="000000"/>
          <w:sz w:val="24"/>
          <w:szCs w:val="24"/>
        </w:rPr>
        <w:t>согласен на предоставление Банком Услуги.</w:t>
      </w:r>
    </w:p>
    <w:p w:rsidR="000656CA" w:rsidRPr="00F47BEE" w:rsidRDefault="00EF43AB" w:rsidP="000656CA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 xml:space="preserve">Предметом настоящих Дополнительных условий является оказание Банком Клиенту Банка Услуги. </w:t>
      </w:r>
    </w:p>
    <w:p w:rsidR="0084275A" w:rsidRPr="00F47BEE" w:rsidRDefault="00EF43AB" w:rsidP="0084275A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Настоящие Дополнительные условия устанавливают:</w:t>
      </w:r>
    </w:p>
    <w:p w:rsidR="0084275A" w:rsidRPr="00F47BEE" w:rsidRDefault="00EF43AB" w:rsidP="0084275A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процесс регистрации Банковской карты в Мобильном платежном сервисе, при котором Клиент Банка принимает настоящие Дополнительные условия;</w:t>
      </w:r>
    </w:p>
    <w:p w:rsidR="0084275A" w:rsidRPr="00F47BEE" w:rsidRDefault="00EF43AB" w:rsidP="0084275A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порядок совершения и подтверждения операции, совершенной Клиентом Банка с использованием Банковской карты посредством Мобильного платежного сервиса;</w:t>
      </w:r>
    </w:p>
    <w:p w:rsidR="0084275A" w:rsidRPr="00F47BEE" w:rsidRDefault="00EF43AB" w:rsidP="0084275A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требования к безопасности использования Мобильного устройства/Носимого устройства при совершении операций с использованием Банковской карты посредством Мобильного платежного сервиса;</w:t>
      </w:r>
    </w:p>
    <w:p w:rsidR="0084275A" w:rsidRPr="00F47BEE" w:rsidRDefault="00EF43AB" w:rsidP="0084275A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права/обязанности и ответственность Сторон.</w:t>
      </w:r>
    </w:p>
    <w:p w:rsidR="002D433B" w:rsidRPr="00F47BEE" w:rsidRDefault="00EF43AB" w:rsidP="0084223E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Дополнительные условия являются частью</w:t>
      </w:r>
      <w:r w:rsidRPr="00F47BEE">
        <w:rPr>
          <w:rFonts w:ascii="Times New Roman" w:hAnsi="Times New Roman"/>
          <w:sz w:val="24"/>
          <w:szCs w:val="24"/>
        </w:rPr>
        <w:t xml:space="preserve"> </w:t>
      </w:r>
      <w:r w:rsidR="005260DD" w:rsidRPr="00F47BEE">
        <w:rPr>
          <w:rFonts w:ascii="Times New Roman" w:hAnsi="Times New Roman"/>
          <w:sz w:val="24"/>
          <w:szCs w:val="24"/>
        </w:rPr>
        <w:t xml:space="preserve">Договора на открытие счета с использованием банковских карт. </w:t>
      </w:r>
      <w:r w:rsidRPr="00F47BEE">
        <w:rPr>
          <w:rFonts w:ascii="Times New Roman" w:hAnsi="Times New Roman"/>
          <w:sz w:val="24"/>
          <w:szCs w:val="24"/>
        </w:rPr>
        <w:t xml:space="preserve">При наличии разночтений между положениями настоящих Дополнительных условий и Договором о предоставлении и использовании банковских карт, применяются положения </w:t>
      </w:r>
      <w:r w:rsidR="005260DD" w:rsidRPr="00F47BEE">
        <w:rPr>
          <w:rFonts w:ascii="Times New Roman" w:hAnsi="Times New Roman"/>
          <w:sz w:val="24"/>
          <w:szCs w:val="24"/>
        </w:rPr>
        <w:t>Договора на открытие счета с использованием банковских карт</w:t>
      </w:r>
      <w:r w:rsidRPr="00F47BEE">
        <w:rPr>
          <w:rFonts w:ascii="Times New Roman" w:hAnsi="Times New Roman"/>
          <w:sz w:val="24"/>
          <w:szCs w:val="24"/>
        </w:rPr>
        <w:t>.</w:t>
      </w:r>
    </w:p>
    <w:p w:rsidR="00274728" w:rsidRPr="00F47BEE" w:rsidRDefault="00EF43AB" w:rsidP="00274728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Банк не является владельцем (разработчиком) Мобильного платежного сервиса и не осуществляет поддержку программного обеспечения Мобильного платежного сервиса.</w:t>
      </w:r>
    </w:p>
    <w:p w:rsidR="00F01D36" w:rsidRPr="00F47BEE" w:rsidRDefault="00EF43AB" w:rsidP="0084223E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sz w:val="24"/>
          <w:szCs w:val="24"/>
        </w:rPr>
        <w:t>Настоящие Дополнительные условия устанавливают правила использования Банковской карты Клиента Банка только в отношениях между Банком и Клиентом Банка. Оператор мобильной связи, Компания и другие сторонние поставщики услуг, включенные в систему платежных услуг, имеют собственные договоры с Клиентом Банка (договоры с третьими лицами), при этом Клиент Банка также должен выполнять условия таких договоров с третьими лицами при предоставлении им личных сведений, использовании услуг или посещении соответствующих интернет-сайтов.</w:t>
      </w:r>
    </w:p>
    <w:p w:rsidR="00566AA6" w:rsidRPr="00F47BEE" w:rsidRDefault="00EF43AB" w:rsidP="0084223E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Клиент Банка</w:t>
      </w:r>
      <w:r w:rsidRPr="00F47BEE">
        <w:rPr>
          <w:rFonts w:ascii="Times New Roman" w:hAnsi="Times New Roman"/>
          <w:sz w:val="24"/>
          <w:szCs w:val="24"/>
        </w:rPr>
        <w:t xml:space="preserve"> должен учитывать, что договоры с третьими лицами могут предусматривать платежи, ограничения и запреты, которые могут отражаться на использовании любой Банковской карты, например, плата за использование Интернета. Клиент Банка обязуется нести единоличную ответственность за такие платежи и соблюдение всех ограничений или запретов, предусмотренных договорами с третьими лицами.</w:t>
      </w:r>
    </w:p>
    <w:p w:rsidR="00274728" w:rsidRPr="00F47BEE" w:rsidRDefault="00EF43AB" w:rsidP="00274728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</w:rPr>
      </w:pPr>
      <w:r w:rsidRPr="00F47BEE">
        <w:rPr>
          <w:rFonts w:ascii="Times New Roman" w:hAnsi="Times New Roman"/>
          <w:sz w:val="24"/>
          <w:szCs w:val="24"/>
        </w:rPr>
        <w:lastRenderedPageBreak/>
        <w:t>Банк не взимает комиссию за использование Банковских карт посредством Мобильного платежного сервиса.</w:t>
      </w:r>
    </w:p>
    <w:p w:rsidR="00E93B67" w:rsidRPr="00F47BEE" w:rsidRDefault="00EF43AB" w:rsidP="00A11985">
      <w:pPr>
        <w:pStyle w:val="a"/>
        <w:ind w:left="993" w:hanging="284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bCs/>
          <w:sz w:val="24"/>
          <w:szCs w:val="24"/>
        </w:rPr>
        <w:t>регистрация</w:t>
      </w:r>
      <w:r w:rsidRPr="00F47BEE">
        <w:rPr>
          <w:rFonts w:ascii="Times New Roman" w:hAnsi="Times New Roman"/>
          <w:color w:val="000000"/>
          <w:sz w:val="24"/>
          <w:szCs w:val="24"/>
        </w:rPr>
        <w:t xml:space="preserve"> банковской карты в мобильном платежном сервиСЕ</w:t>
      </w:r>
    </w:p>
    <w:p w:rsidR="00D93B4C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Для совершения операций с использованием Банковской карты посредством Мобильного платежного сервиса Клиенту Банка необходимо зарегистрировать Банковскую карту в Мобильном платежном сервисе одним из следующих способов:</w:t>
      </w:r>
    </w:p>
    <w:p w:rsidR="003D1035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автоматическое заполнение реквизитов Банковской карты в Мобильном платежном сервисе с использованием камеры Мобильного устройства;</w:t>
      </w:r>
    </w:p>
    <w:p w:rsidR="00B96668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путем ввода реквизитов Банковской карты в Мобильном платежном сервисе вручную;</w:t>
      </w:r>
    </w:p>
    <w:p w:rsidR="00B96668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используя иной способ, определяемый Компанией (при наличии технической возможности).</w:t>
      </w:r>
    </w:p>
    <w:p w:rsidR="00B96668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 xml:space="preserve">После ввода Клиентом Банка реквизитов Банковской карты </w:t>
      </w:r>
      <w:r w:rsidR="00A30C24" w:rsidRPr="00F47BEE">
        <w:rPr>
          <w:rFonts w:ascii="Times New Roman" w:hAnsi="Times New Roman"/>
          <w:sz w:val="24"/>
          <w:szCs w:val="24"/>
        </w:rPr>
        <w:t xml:space="preserve">Платежной системой </w:t>
      </w:r>
      <w:r w:rsidRPr="00F47BEE">
        <w:rPr>
          <w:rFonts w:ascii="Times New Roman" w:hAnsi="Times New Roman"/>
          <w:sz w:val="24"/>
          <w:szCs w:val="24"/>
          <w:lang w:eastAsia="ru-RU"/>
        </w:rPr>
        <w:t xml:space="preserve">осуществляется проверка действительности Банковской карты с помощью Кода подтверждения действительности карты. Банковская карта должна быть активна, иметь не истекший срок действия. </w:t>
      </w:r>
    </w:p>
    <w:p w:rsidR="00E7664F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 xml:space="preserve">После выполнения мероприятий, указанных в п.3.2 настоящих Дополнительных условий, Банк осуществляет дополнительную проверку Банковской карты одним из следующих способов (по своему усмотрению): </w:t>
      </w:r>
    </w:p>
    <w:p w:rsidR="00E7664F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 xml:space="preserve">путем направления Клиенту Банка одноразового пароля в </w:t>
      </w:r>
      <w:r w:rsidRPr="00F47BEE">
        <w:rPr>
          <w:rFonts w:ascii="Times New Roman" w:hAnsi="Times New Roman"/>
          <w:sz w:val="24"/>
          <w:szCs w:val="24"/>
          <w:lang w:val="en-US" w:eastAsia="ru-RU"/>
        </w:rPr>
        <w:t>SMS</w:t>
      </w:r>
      <w:r w:rsidRPr="00F47BEE">
        <w:rPr>
          <w:rFonts w:ascii="Times New Roman" w:hAnsi="Times New Roman"/>
          <w:sz w:val="24"/>
          <w:szCs w:val="24"/>
          <w:lang w:eastAsia="ru-RU"/>
        </w:rPr>
        <w:t>-сообщении (действительность направленного Банком пароля составляет 10 (десять) минут);</w:t>
      </w:r>
    </w:p>
    <w:p w:rsidR="00E7664F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 xml:space="preserve">в Контакт-центре Банка путем прохождения Клиентом Банка процедуры проверки в порядке, установленном Банком. </w:t>
      </w:r>
    </w:p>
    <w:p w:rsidR="005A2570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Клиент Банка проходит проверку одним из указанных в п.3.3 настоящих Дополнительных условий способом. Выражает согласие (акцепт) с текстом Дополнительных условий путем проставления отметки в соответствующем поле в экранной форме Мобильного платежного сервиса.</w:t>
      </w:r>
    </w:p>
    <w:p w:rsidR="00AC4AA2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 xml:space="preserve">По факту успешной проведенной проверки Банковской карты </w:t>
      </w:r>
      <w:r w:rsidR="00A30C24" w:rsidRPr="00F47BEE">
        <w:rPr>
          <w:rFonts w:ascii="Times New Roman" w:hAnsi="Times New Roman"/>
          <w:sz w:val="24"/>
          <w:szCs w:val="24"/>
        </w:rPr>
        <w:t xml:space="preserve">Платежной системой </w:t>
      </w:r>
      <w:r w:rsidRPr="00F47BEE">
        <w:rPr>
          <w:rFonts w:ascii="Times New Roman" w:hAnsi="Times New Roman"/>
          <w:color w:val="000000"/>
          <w:sz w:val="24"/>
          <w:szCs w:val="24"/>
        </w:rPr>
        <w:t xml:space="preserve">формируется </w:t>
      </w:r>
      <w:proofErr w:type="spellStart"/>
      <w:r w:rsidRPr="00F47BEE">
        <w:rPr>
          <w:rFonts w:ascii="Times New Roman" w:hAnsi="Times New Roman"/>
          <w:color w:val="000000"/>
          <w:sz w:val="24"/>
          <w:szCs w:val="24"/>
        </w:rPr>
        <w:t>Токен</w:t>
      </w:r>
      <w:proofErr w:type="spellEnd"/>
      <w:r w:rsidR="0087352B" w:rsidRPr="00F47BEE">
        <w:rPr>
          <w:rFonts w:ascii="Times New Roman" w:hAnsi="Times New Roman"/>
          <w:color w:val="000000"/>
          <w:sz w:val="24"/>
          <w:szCs w:val="24"/>
        </w:rPr>
        <w:t>,</w:t>
      </w:r>
      <w:r w:rsidR="00A30C24" w:rsidRPr="00F47BEE">
        <w:rPr>
          <w:rFonts w:ascii="Times New Roman" w:hAnsi="Times New Roman"/>
          <w:sz w:val="24"/>
          <w:szCs w:val="24"/>
        </w:rPr>
        <w:t xml:space="preserve"> который отправляется на Мобильное устройство/Носимое устройство.</w:t>
      </w:r>
      <w:r w:rsidRPr="00F47BEE">
        <w:rPr>
          <w:rFonts w:ascii="Times New Roman" w:hAnsi="Times New Roman"/>
          <w:color w:val="000000"/>
          <w:sz w:val="24"/>
          <w:szCs w:val="24"/>
        </w:rPr>
        <w:t xml:space="preserve"> Реквизиты Банковской карты заменяются на цифровой код – созданный </w:t>
      </w:r>
      <w:proofErr w:type="spellStart"/>
      <w:r w:rsidRPr="00F47BEE">
        <w:rPr>
          <w:rFonts w:ascii="Times New Roman" w:hAnsi="Times New Roman"/>
          <w:color w:val="000000"/>
          <w:sz w:val="24"/>
          <w:szCs w:val="24"/>
        </w:rPr>
        <w:t>Токен</w:t>
      </w:r>
      <w:proofErr w:type="spellEnd"/>
      <w:r w:rsidRPr="00F47BE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47BEE">
        <w:rPr>
          <w:rFonts w:ascii="Times New Roman" w:hAnsi="Times New Roman"/>
          <w:color w:val="000000"/>
          <w:sz w:val="24"/>
          <w:szCs w:val="24"/>
        </w:rPr>
        <w:t>Токен</w:t>
      </w:r>
      <w:proofErr w:type="spellEnd"/>
      <w:r w:rsidRPr="00F47BEE">
        <w:rPr>
          <w:rFonts w:ascii="Times New Roman" w:hAnsi="Times New Roman"/>
          <w:color w:val="000000"/>
          <w:sz w:val="24"/>
          <w:szCs w:val="24"/>
        </w:rPr>
        <w:t xml:space="preserve"> позволяет однозначно идентифицировать Банковскую карту, используемую при совершении операций </w:t>
      </w:r>
      <w:r w:rsidRPr="00F47BEE">
        <w:rPr>
          <w:rFonts w:ascii="Times New Roman" w:hAnsi="Times New Roman"/>
          <w:sz w:val="24"/>
          <w:szCs w:val="24"/>
        </w:rPr>
        <w:t>с использованием Банковской карты</w:t>
      </w:r>
      <w:r w:rsidRPr="00F47BEE">
        <w:rPr>
          <w:rFonts w:ascii="Times New Roman" w:hAnsi="Times New Roman"/>
          <w:color w:val="000000"/>
          <w:sz w:val="24"/>
          <w:szCs w:val="24"/>
        </w:rPr>
        <w:t xml:space="preserve"> посредством Мобильного платежного сервиса. </w:t>
      </w:r>
    </w:p>
    <w:p w:rsidR="0065429C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 xml:space="preserve">Банк направляет Клиенту Банка </w:t>
      </w:r>
      <w:r w:rsidRPr="00F47BEE"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F47BEE">
        <w:rPr>
          <w:rFonts w:ascii="Times New Roman" w:hAnsi="Times New Roman"/>
          <w:color w:val="000000"/>
          <w:sz w:val="24"/>
          <w:szCs w:val="24"/>
        </w:rPr>
        <w:t xml:space="preserve">-сообщение об успешной регистрации Банковской карты в Мобильном платежном сервисе незамедлительно после регистрации Банковской карты в Мобильном платежном сервисе.  </w:t>
      </w:r>
    </w:p>
    <w:p w:rsidR="00FC2BA1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Ограничения по количеству Мобильных устройств/Носимых устройств, на которые можно зарегистрировать одну Банковскую карту в Мобильном платежном сервисе и по количеству Банковских карт, которые можно зарегистрировать на одном Мобильном устройстве/Носимом устройстве, устанавливаются Компанией и/или Платежной системой</w:t>
      </w:r>
      <w:r w:rsidR="00A30C24" w:rsidRPr="00F47BEE">
        <w:rPr>
          <w:rFonts w:ascii="Times New Roman" w:hAnsi="Times New Roman"/>
          <w:sz w:val="24"/>
          <w:szCs w:val="24"/>
        </w:rPr>
        <w:t xml:space="preserve"> и/или Банком.</w:t>
      </w:r>
    </w:p>
    <w:p w:rsidR="0065429C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 xml:space="preserve">Клиент Банка может самостоятельно удалить один или несколько </w:t>
      </w:r>
      <w:proofErr w:type="spellStart"/>
      <w:r w:rsidRPr="00F47BEE">
        <w:rPr>
          <w:rFonts w:ascii="Times New Roman" w:hAnsi="Times New Roman"/>
          <w:color w:val="000000"/>
          <w:sz w:val="24"/>
          <w:szCs w:val="24"/>
        </w:rPr>
        <w:t>Токенов</w:t>
      </w:r>
      <w:proofErr w:type="spellEnd"/>
      <w:r w:rsidRPr="00F47BEE">
        <w:rPr>
          <w:rFonts w:ascii="Times New Roman" w:hAnsi="Times New Roman"/>
          <w:color w:val="000000"/>
          <w:sz w:val="24"/>
          <w:szCs w:val="24"/>
        </w:rPr>
        <w:t xml:space="preserve"> из Мобильного платежного сервиса, следуя инструкциям в Мобильном платежном сервисе.</w:t>
      </w:r>
    </w:p>
    <w:p w:rsidR="005E6D68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Установка Мобильного платежного сервиса на Носимое устройство осуществляется Клиентом Банка самостоятельно. Клиент Банка осуществляет следующие действия:</w:t>
      </w:r>
    </w:p>
    <w:p w:rsidR="005E6D68" w:rsidRPr="00F47BEE" w:rsidRDefault="00EF43AB" w:rsidP="00A270C2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</w:rPr>
        <w:t>в отношении Мобильного платежного сервиса «</w:t>
      </w:r>
      <w:proofErr w:type="spellStart"/>
      <w:r w:rsidRPr="00F47BEE">
        <w:rPr>
          <w:rFonts w:ascii="Times New Roman" w:hAnsi="Times New Roman"/>
          <w:sz w:val="24"/>
          <w:szCs w:val="24"/>
        </w:rPr>
        <w:t>Apple</w:t>
      </w:r>
      <w:proofErr w:type="spellEnd"/>
      <w:r w:rsidRPr="00F47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7BEE">
        <w:rPr>
          <w:rFonts w:ascii="Times New Roman" w:hAnsi="Times New Roman"/>
          <w:sz w:val="24"/>
          <w:szCs w:val="24"/>
        </w:rPr>
        <w:t>Pay</w:t>
      </w:r>
      <w:proofErr w:type="spellEnd"/>
      <w:r w:rsidRPr="00F47BEE">
        <w:rPr>
          <w:rFonts w:ascii="Times New Roman" w:hAnsi="Times New Roman"/>
          <w:sz w:val="24"/>
          <w:szCs w:val="24"/>
        </w:rPr>
        <w:t>» - производит синхронизацию Носимого устройства с Мобильным устройством, на котором уже установлен Мобильный платежный сервис «</w:t>
      </w:r>
      <w:proofErr w:type="spellStart"/>
      <w:r w:rsidRPr="00F47BEE">
        <w:rPr>
          <w:rFonts w:ascii="Times New Roman" w:hAnsi="Times New Roman"/>
          <w:sz w:val="24"/>
          <w:szCs w:val="24"/>
        </w:rPr>
        <w:t>Apple</w:t>
      </w:r>
      <w:proofErr w:type="spellEnd"/>
      <w:r w:rsidRPr="00F47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7BEE">
        <w:rPr>
          <w:rFonts w:ascii="Times New Roman" w:hAnsi="Times New Roman"/>
          <w:sz w:val="24"/>
          <w:szCs w:val="24"/>
        </w:rPr>
        <w:t>Pay</w:t>
      </w:r>
      <w:proofErr w:type="spellEnd"/>
      <w:r w:rsidRPr="00F47BEE">
        <w:rPr>
          <w:rFonts w:ascii="Times New Roman" w:hAnsi="Times New Roman"/>
          <w:sz w:val="24"/>
          <w:szCs w:val="24"/>
        </w:rPr>
        <w:t>», и добавляет Банковскую карту на Носимое устройство;</w:t>
      </w:r>
    </w:p>
    <w:p w:rsidR="00E86C3F" w:rsidRPr="00F47BEE" w:rsidRDefault="00EF43AB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отношении Мобильного платежного сервиса </w:t>
      </w:r>
      <w:r w:rsidRPr="00F47BEE">
        <w:rPr>
          <w:rFonts w:ascii="Times New Roman" w:hAnsi="Times New Roman"/>
          <w:sz w:val="24"/>
          <w:szCs w:val="24"/>
        </w:rPr>
        <w:t>«</w:t>
      </w:r>
      <w:r w:rsidRPr="00F47BEE">
        <w:rPr>
          <w:rFonts w:ascii="Times New Roman" w:hAnsi="Times New Roman"/>
          <w:sz w:val="24"/>
          <w:szCs w:val="24"/>
          <w:lang w:val="en-US"/>
        </w:rPr>
        <w:t>Garmin</w:t>
      </w:r>
      <w:r w:rsidRPr="00F47BEE">
        <w:rPr>
          <w:rFonts w:ascii="Times New Roman" w:hAnsi="Times New Roman"/>
          <w:sz w:val="24"/>
          <w:szCs w:val="24"/>
        </w:rPr>
        <w:t xml:space="preserve"> </w:t>
      </w:r>
      <w:r w:rsidRPr="00F47BEE">
        <w:rPr>
          <w:rFonts w:ascii="Times New Roman" w:hAnsi="Times New Roman"/>
          <w:sz w:val="24"/>
          <w:szCs w:val="24"/>
          <w:lang w:val="en-US"/>
        </w:rPr>
        <w:t>Pay</w:t>
      </w:r>
      <w:r w:rsidR="00A30C24" w:rsidRPr="00F47BEE">
        <w:rPr>
          <w:rFonts w:ascii="Times New Roman" w:hAnsi="Times New Roman"/>
          <w:sz w:val="24"/>
          <w:szCs w:val="24"/>
        </w:rPr>
        <w:t>» - совершает действия, необходимые для копирования Мобильного платежного сервиса с сайта в сети Интернет: https://connect.garmin.com/ru-RU/ на Мобильное устройство, после чего производит синхронизацию Носимого устройства с Мобильным устройством и добавляет Банковскую карту на Носимое устройство.</w:t>
      </w:r>
    </w:p>
    <w:p w:rsidR="0087352B" w:rsidRPr="00F47BEE" w:rsidRDefault="00A30C24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</w:rPr>
        <w:t>в отношении Мобильного платежного сервиса «</w:t>
      </w:r>
      <w:proofErr w:type="spellStart"/>
      <w:r w:rsidRPr="00F47BEE">
        <w:rPr>
          <w:rFonts w:ascii="Times New Roman" w:hAnsi="Times New Roman"/>
          <w:sz w:val="24"/>
          <w:szCs w:val="24"/>
        </w:rPr>
        <w:t>Samsung</w:t>
      </w:r>
      <w:proofErr w:type="spellEnd"/>
      <w:r w:rsidRPr="00F47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7BEE">
        <w:rPr>
          <w:rFonts w:ascii="Times New Roman" w:hAnsi="Times New Roman"/>
          <w:sz w:val="24"/>
          <w:szCs w:val="24"/>
        </w:rPr>
        <w:t>Pay</w:t>
      </w:r>
      <w:proofErr w:type="spellEnd"/>
      <w:r w:rsidRPr="00F47BEE">
        <w:rPr>
          <w:rFonts w:ascii="Times New Roman" w:hAnsi="Times New Roman"/>
          <w:sz w:val="24"/>
          <w:szCs w:val="24"/>
        </w:rPr>
        <w:t>» - подключает Носимое устройство к Мобильному устройству, через которое производит установку Мобильного платежного сервиса для Носимого устройства и добавляет Банковскую карту.</w:t>
      </w:r>
    </w:p>
    <w:p w:rsidR="0065429C" w:rsidRPr="00F47BEE" w:rsidRDefault="00EF43AB" w:rsidP="00FC2BA1">
      <w:pPr>
        <w:pStyle w:val="a"/>
        <w:rPr>
          <w:rFonts w:ascii="Times New Roman" w:hAnsi="Times New Roman"/>
          <w:bCs/>
          <w:color w:val="000000"/>
          <w:sz w:val="24"/>
          <w:szCs w:val="24"/>
        </w:rPr>
      </w:pPr>
      <w:r w:rsidRPr="00F47BEE">
        <w:rPr>
          <w:rFonts w:ascii="Times New Roman" w:hAnsi="Times New Roman"/>
          <w:bCs/>
          <w:color w:val="000000"/>
          <w:sz w:val="24"/>
          <w:szCs w:val="24"/>
        </w:rPr>
        <w:t>ПОРЯДОК Совершения и подтверждения ОПЕРАЦИи</w:t>
      </w:r>
    </w:p>
    <w:p w:rsidR="0065429C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 xml:space="preserve">Операции с использованием Банковской карты посредством Мобильного платежного сервиса могут осуществляться: </w:t>
      </w:r>
    </w:p>
    <w:p w:rsidR="00FC2BA1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через Терминал, оснащенный NFC, или через Терминал, предназначенный для считывания Банковских карт с магнитной полосой (не оснащенный NFC), – для Мобильного платежного сервиса «</w:t>
      </w:r>
      <w:r w:rsidRPr="00F47BEE">
        <w:rPr>
          <w:rFonts w:ascii="Times New Roman" w:hAnsi="Times New Roman"/>
          <w:sz w:val="24"/>
          <w:szCs w:val="24"/>
          <w:lang w:val="en-US" w:eastAsia="ru-RU"/>
        </w:rPr>
        <w:t>Samsung</w:t>
      </w:r>
      <w:r w:rsidRPr="00F47B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7BEE">
        <w:rPr>
          <w:rFonts w:ascii="Times New Roman" w:hAnsi="Times New Roman"/>
          <w:sz w:val="24"/>
          <w:szCs w:val="24"/>
          <w:lang w:val="en-US" w:eastAsia="ru-RU"/>
        </w:rPr>
        <w:t>Pay</w:t>
      </w:r>
      <w:r w:rsidRPr="00F47BEE">
        <w:rPr>
          <w:rFonts w:ascii="Times New Roman" w:hAnsi="Times New Roman"/>
          <w:sz w:val="24"/>
          <w:szCs w:val="24"/>
          <w:lang w:eastAsia="ru-RU"/>
        </w:rPr>
        <w:t xml:space="preserve">»; через Терминал, оснащенный </w:t>
      </w:r>
      <w:r w:rsidRPr="00F47BEE">
        <w:rPr>
          <w:rFonts w:ascii="Times New Roman" w:hAnsi="Times New Roman"/>
          <w:sz w:val="24"/>
          <w:szCs w:val="24"/>
          <w:lang w:val="en-US" w:eastAsia="ru-RU"/>
        </w:rPr>
        <w:t>NFC</w:t>
      </w:r>
      <w:r w:rsidRPr="00F47BEE">
        <w:rPr>
          <w:rFonts w:ascii="Times New Roman" w:hAnsi="Times New Roman"/>
          <w:sz w:val="24"/>
          <w:szCs w:val="24"/>
          <w:lang w:eastAsia="ru-RU"/>
        </w:rPr>
        <w:t>, – для Мобильного платежного сервиса «</w:t>
      </w:r>
      <w:r w:rsidRPr="00F47BEE">
        <w:rPr>
          <w:rFonts w:ascii="Times New Roman" w:hAnsi="Times New Roman"/>
          <w:sz w:val="24"/>
          <w:szCs w:val="24"/>
          <w:lang w:val="en-US" w:eastAsia="ru-RU"/>
        </w:rPr>
        <w:t>Apple</w:t>
      </w:r>
      <w:r w:rsidRPr="00F47B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7BEE">
        <w:rPr>
          <w:rFonts w:ascii="Times New Roman" w:hAnsi="Times New Roman"/>
          <w:sz w:val="24"/>
          <w:szCs w:val="24"/>
          <w:lang w:val="en-US" w:eastAsia="ru-RU"/>
        </w:rPr>
        <w:t>Pay</w:t>
      </w:r>
      <w:r w:rsidRPr="00F47BEE">
        <w:rPr>
          <w:rFonts w:ascii="Times New Roman" w:hAnsi="Times New Roman"/>
          <w:sz w:val="24"/>
          <w:szCs w:val="24"/>
          <w:lang w:eastAsia="ru-RU"/>
        </w:rPr>
        <w:t>»,</w:t>
      </w:r>
      <w:r w:rsidRPr="00F47BEE">
        <w:rPr>
          <w:rFonts w:ascii="Times New Roman" w:hAnsi="Times New Roman"/>
          <w:sz w:val="24"/>
          <w:szCs w:val="24"/>
        </w:rPr>
        <w:t xml:space="preserve"> «</w:t>
      </w:r>
      <w:r w:rsidRPr="00F47BEE">
        <w:rPr>
          <w:rFonts w:ascii="Times New Roman" w:hAnsi="Times New Roman"/>
          <w:sz w:val="24"/>
          <w:szCs w:val="24"/>
          <w:lang w:val="en-US"/>
        </w:rPr>
        <w:t>Google</w:t>
      </w:r>
      <w:r w:rsidRPr="00F47BEE">
        <w:rPr>
          <w:rFonts w:ascii="Times New Roman" w:hAnsi="Times New Roman"/>
          <w:sz w:val="24"/>
          <w:szCs w:val="24"/>
        </w:rPr>
        <w:t xml:space="preserve"> </w:t>
      </w:r>
      <w:r w:rsidRPr="00F47BEE">
        <w:rPr>
          <w:rFonts w:ascii="Times New Roman" w:hAnsi="Times New Roman"/>
          <w:sz w:val="24"/>
          <w:szCs w:val="24"/>
          <w:lang w:val="en-US"/>
        </w:rPr>
        <w:t>Pay</w:t>
      </w:r>
      <w:r w:rsidRPr="00F47BEE">
        <w:rPr>
          <w:rFonts w:ascii="Times New Roman" w:hAnsi="Times New Roman"/>
          <w:sz w:val="24"/>
          <w:szCs w:val="24"/>
        </w:rPr>
        <w:t>», «</w:t>
      </w:r>
      <w:r w:rsidRPr="00F47BEE">
        <w:rPr>
          <w:rFonts w:ascii="Times New Roman" w:hAnsi="Times New Roman"/>
          <w:sz w:val="24"/>
          <w:szCs w:val="24"/>
          <w:lang w:val="en-US"/>
        </w:rPr>
        <w:t>Garmin</w:t>
      </w:r>
      <w:r w:rsidRPr="00F47BEE">
        <w:rPr>
          <w:rFonts w:ascii="Times New Roman" w:hAnsi="Times New Roman"/>
          <w:sz w:val="24"/>
          <w:szCs w:val="24"/>
        </w:rPr>
        <w:t xml:space="preserve"> </w:t>
      </w:r>
      <w:r w:rsidRPr="00F47BEE">
        <w:rPr>
          <w:rFonts w:ascii="Times New Roman" w:hAnsi="Times New Roman"/>
          <w:sz w:val="24"/>
          <w:szCs w:val="24"/>
          <w:lang w:val="en-US"/>
        </w:rPr>
        <w:t>Pay</w:t>
      </w:r>
      <w:r w:rsidRPr="00F47BEE">
        <w:rPr>
          <w:rFonts w:ascii="Times New Roman" w:hAnsi="Times New Roman"/>
          <w:sz w:val="24"/>
          <w:szCs w:val="24"/>
        </w:rPr>
        <w:t>»</w:t>
      </w:r>
      <w:r w:rsidR="00801DB0" w:rsidRPr="00F47BEE">
        <w:rPr>
          <w:rFonts w:ascii="Times New Roman" w:hAnsi="Times New Roman"/>
          <w:sz w:val="24"/>
          <w:szCs w:val="24"/>
        </w:rPr>
        <w:t>, «</w:t>
      </w:r>
      <w:r w:rsidR="00801DB0" w:rsidRPr="00F47BEE">
        <w:rPr>
          <w:rFonts w:ascii="Times New Roman" w:hAnsi="Times New Roman"/>
          <w:sz w:val="24"/>
          <w:szCs w:val="24"/>
          <w:lang w:val="en-US"/>
        </w:rPr>
        <w:t>Mir</w:t>
      </w:r>
      <w:r w:rsidR="00801DB0" w:rsidRPr="00F47BEE">
        <w:rPr>
          <w:rFonts w:ascii="Times New Roman" w:hAnsi="Times New Roman"/>
          <w:sz w:val="24"/>
          <w:szCs w:val="24"/>
        </w:rPr>
        <w:t xml:space="preserve"> </w:t>
      </w:r>
      <w:r w:rsidR="00801DB0" w:rsidRPr="00F47BEE">
        <w:rPr>
          <w:rFonts w:ascii="Times New Roman" w:hAnsi="Times New Roman"/>
          <w:sz w:val="24"/>
          <w:szCs w:val="24"/>
          <w:lang w:val="en-US"/>
        </w:rPr>
        <w:t>Pay</w:t>
      </w:r>
      <w:r w:rsidR="00801DB0" w:rsidRPr="00F47BEE">
        <w:rPr>
          <w:rFonts w:ascii="Times New Roman" w:hAnsi="Times New Roman"/>
          <w:sz w:val="24"/>
          <w:szCs w:val="24"/>
        </w:rPr>
        <w:t xml:space="preserve">», «Кошелек </w:t>
      </w:r>
      <w:r w:rsidR="00801DB0" w:rsidRPr="00F47BEE">
        <w:rPr>
          <w:rFonts w:ascii="Times New Roman" w:hAnsi="Times New Roman"/>
          <w:sz w:val="24"/>
          <w:szCs w:val="24"/>
          <w:lang w:val="en-US"/>
        </w:rPr>
        <w:t>Pay</w:t>
      </w:r>
      <w:r w:rsidR="00801DB0" w:rsidRPr="00F47BEE">
        <w:rPr>
          <w:rFonts w:ascii="Times New Roman" w:hAnsi="Times New Roman"/>
          <w:sz w:val="24"/>
          <w:szCs w:val="24"/>
        </w:rPr>
        <w:t>»</w:t>
      </w:r>
      <w:r w:rsidRPr="00F47BEE">
        <w:rPr>
          <w:rFonts w:ascii="Times New Roman" w:hAnsi="Times New Roman"/>
          <w:sz w:val="24"/>
          <w:szCs w:val="24"/>
          <w:lang w:eastAsia="ru-RU"/>
        </w:rPr>
        <w:t>;</w:t>
      </w:r>
    </w:p>
    <w:p w:rsidR="0065429C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 xml:space="preserve">в мобильных приложениях на Мобильном устройстве/Носимом устройстве Клиента Банка и на официальных интернет-сайтах, поддерживающих расчеты через Мобильный платежный сервис. </w:t>
      </w:r>
    </w:p>
    <w:p w:rsidR="00935077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Совершение операций с использованием Банковской карты посредством Мобильного платежного сервиса возможно во всех Торговых точках, позволяющих совершать операции посредством Мобильного платежного сервиса.</w:t>
      </w:r>
    </w:p>
    <w:p w:rsidR="00987208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 xml:space="preserve">Подтверждение операции осуществляется путем ввода Клиентом Банка Пароля или с помощью </w:t>
      </w:r>
      <w:proofErr w:type="gramStart"/>
      <w:r w:rsidRPr="00F47BEE">
        <w:rPr>
          <w:rFonts w:ascii="Times New Roman" w:hAnsi="Times New Roman"/>
          <w:color w:val="000000"/>
          <w:sz w:val="24"/>
          <w:szCs w:val="24"/>
        </w:rPr>
        <w:t>Отпечатка</w:t>
      </w:r>
      <w:r w:rsidR="00F47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7BEE">
        <w:rPr>
          <w:rFonts w:ascii="Times New Roman" w:hAnsi="Times New Roman"/>
          <w:color w:val="000000"/>
          <w:sz w:val="24"/>
          <w:szCs w:val="24"/>
        </w:rPr>
        <w:t>пальца</w:t>
      </w:r>
      <w:proofErr w:type="gramEnd"/>
      <w:r w:rsidRPr="00F47BEE">
        <w:rPr>
          <w:rFonts w:ascii="Times New Roman" w:hAnsi="Times New Roman"/>
          <w:color w:val="000000"/>
          <w:sz w:val="24"/>
          <w:szCs w:val="24"/>
        </w:rPr>
        <w:t xml:space="preserve"> или с помощью Биометрии лица (если Мобильное устройство Клиента Банка поддерживает технологию распознавания Отпечатка пальца или технологию Биометрии лица).</w:t>
      </w:r>
    </w:p>
    <w:p w:rsidR="00693D99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При наличии нескольких Банковских карт, зарегистрированных в Мобильном платежном сервисе, Клиент Банка должен выбрать Банковскую карту, с использованием которой будут осуществляться операции</w:t>
      </w:r>
      <w:r w:rsidRPr="00F47BEE">
        <w:rPr>
          <w:rFonts w:ascii="Times New Roman" w:hAnsi="Times New Roman"/>
          <w:sz w:val="24"/>
          <w:szCs w:val="24"/>
        </w:rPr>
        <w:t xml:space="preserve"> </w:t>
      </w:r>
      <w:r w:rsidRPr="00F47BEE">
        <w:rPr>
          <w:rFonts w:ascii="Times New Roman" w:hAnsi="Times New Roman"/>
          <w:color w:val="000000"/>
          <w:sz w:val="24"/>
          <w:szCs w:val="24"/>
        </w:rPr>
        <w:t>посредством Мобильного платежного сервиса.</w:t>
      </w:r>
    </w:p>
    <w:p w:rsidR="00693D99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В Мобильном платежном сервисе отображаются 10 (десять) последних операций</w:t>
      </w:r>
      <w:r w:rsidRPr="00F47BEE">
        <w:rPr>
          <w:rFonts w:ascii="Times New Roman" w:hAnsi="Times New Roman"/>
          <w:sz w:val="24"/>
          <w:szCs w:val="24"/>
        </w:rPr>
        <w:t xml:space="preserve"> с использованием Банковской карты</w:t>
      </w:r>
      <w:r w:rsidRPr="00F47BEE">
        <w:rPr>
          <w:rFonts w:ascii="Times New Roman" w:hAnsi="Times New Roman"/>
          <w:color w:val="000000"/>
          <w:sz w:val="24"/>
          <w:szCs w:val="24"/>
        </w:rPr>
        <w:t xml:space="preserve"> по каждой зарегистрированной Банковской карте.</w:t>
      </w:r>
    </w:p>
    <w:p w:rsidR="0065429C" w:rsidRPr="00F47BEE" w:rsidRDefault="00EF43AB" w:rsidP="00693D99">
      <w:pPr>
        <w:pStyle w:val="a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bCs/>
          <w:color w:val="000000"/>
          <w:sz w:val="24"/>
          <w:szCs w:val="24"/>
        </w:rPr>
        <w:t>Меры безопасности</w:t>
      </w:r>
    </w:p>
    <w:p w:rsidR="00376895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В целях минимизации риска хищения денежных средств и обеспечения совершения операций с использованием Банковских карт посредством Мобильного платежного сервиса Клиент Банка обязан обеспечить выполнение следующих требований:</w:t>
      </w:r>
    </w:p>
    <w:p w:rsidR="00376895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создать Пароль;</w:t>
      </w:r>
    </w:p>
    <w:p w:rsidR="00376895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не оставлять Мобильное устройство/Носимое устройство без присмотра;</w:t>
      </w:r>
    </w:p>
    <w:p w:rsidR="00376895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обеспечить соответствующий уровень безопасности на Мобильном устройстве/Носимом устройстве, используя методы блокировки/разблокировки Мобильного устройства/Носимого устройства;</w:t>
      </w:r>
    </w:p>
    <w:p w:rsidR="00376895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 xml:space="preserve">убедиться, что на Мобильном устройстве/Носимом устройстве не зарегистрированы </w:t>
      </w:r>
      <w:r w:rsidR="00A30C24" w:rsidRPr="00F47BEE">
        <w:rPr>
          <w:rFonts w:ascii="Times New Roman" w:hAnsi="Times New Roman"/>
          <w:sz w:val="24"/>
          <w:szCs w:val="24"/>
        </w:rPr>
        <w:t xml:space="preserve">биометрия </w:t>
      </w:r>
      <w:r w:rsidRPr="00F47BEE">
        <w:rPr>
          <w:rFonts w:ascii="Times New Roman" w:hAnsi="Times New Roman"/>
          <w:sz w:val="24"/>
          <w:szCs w:val="24"/>
          <w:lang w:eastAsia="ru-RU"/>
        </w:rPr>
        <w:t>лица/отпечатки пальцев другого лица;</w:t>
      </w:r>
    </w:p>
    <w:p w:rsidR="00376895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не разглашать третьим лицам Пароль и иную конфиденциальную информацию;</w:t>
      </w:r>
    </w:p>
    <w:p w:rsidR="00376895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использовать предусмотренные производителем Мобильного устройства/Носимого устройства и/или Мобильным платежным сервисом дополнительные функции и меры обеспечения безопасности для защиты от несанкционированного использования Банковских карт;</w:t>
      </w:r>
    </w:p>
    <w:p w:rsidR="00376895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lastRenderedPageBreak/>
        <w:t>не подвергать Мобильное устройство/Носимое устройство операциям повышения привилегий/взлома операционной системы Мобильного устройства/Носимого устройства (</w:t>
      </w:r>
      <w:proofErr w:type="spellStart"/>
      <w:r w:rsidRPr="00F47BEE">
        <w:rPr>
          <w:rFonts w:ascii="Times New Roman" w:hAnsi="Times New Roman"/>
          <w:sz w:val="24"/>
          <w:szCs w:val="24"/>
          <w:lang w:eastAsia="ru-RU"/>
        </w:rPr>
        <w:t>root</w:t>
      </w:r>
      <w:proofErr w:type="spellEnd"/>
      <w:r w:rsidRPr="00F47BEE">
        <w:rPr>
          <w:rFonts w:ascii="Times New Roman" w:hAnsi="Times New Roman"/>
          <w:sz w:val="24"/>
          <w:szCs w:val="24"/>
          <w:lang w:eastAsia="ru-RU"/>
        </w:rPr>
        <w:t xml:space="preserve">-доступ, разблокировка загрузчика </w:t>
      </w:r>
      <w:proofErr w:type="spellStart"/>
      <w:r w:rsidRPr="00F47BEE">
        <w:rPr>
          <w:rFonts w:ascii="Times New Roman" w:hAnsi="Times New Roman"/>
          <w:sz w:val="24"/>
          <w:szCs w:val="24"/>
          <w:lang w:eastAsia="ru-RU"/>
        </w:rPr>
        <w:t>bootloader</w:t>
      </w:r>
      <w:proofErr w:type="spellEnd"/>
      <w:r w:rsidRPr="00F47B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47BEE">
        <w:rPr>
          <w:rFonts w:ascii="Times New Roman" w:hAnsi="Times New Roman"/>
          <w:sz w:val="24"/>
          <w:szCs w:val="24"/>
          <w:lang w:eastAsia="ru-RU"/>
        </w:rPr>
        <w:t>Jailbreak</w:t>
      </w:r>
      <w:proofErr w:type="spellEnd"/>
      <w:r w:rsidRPr="00F47BEE">
        <w:rPr>
          <w:rFonts w:ascii="Times New Roman" w:hAnsi="Times New Roman"/>
          <w:sz w:val="24"/>
          <w:szCs w:val="24"/>
          <w:lang w:eastAsia="ru-RU"/>
        </w:rPr>
        <w:t xml:space="preserve"> и т.п.);</w:t>
      </w:r>
    </w:p>
    <w:p w:rsidR="00376895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незамедлительно изменить Пароль и/или Отпечаток пальца и/или Биометрию лица при возникновении подозрений в их компрометации;</w:t>
      </w:r>
    </w:p>
    <w:p w:rsidR="0065429C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 xml:space="preserve">удалить все личные данные и финансовую информацию с Мобильного устройства/Носимого устройства, если прекращено использование Мобильного устройства/Носимого устройства. </w:t>
      </w:r>
    </w:p>
    <w:p w:rsidR="00AB5DD0" w:rsidRPr="00F47BEE" w:rsidRDefault="00EF43AB" w:rsidP="00AB5DD0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В случае подозрений на любое несанкционированное использование Мобильного устройства/Носимого устройства (например, при получении информации об операциях, которые Клиент Банка не совершал), а также, если Мобильное устройство/Носимое устройство было взломано, потеряно или украдено, Клиент Банка обязан в соответствии с действующим законодательством Российской Федерации уведомить Банк о данном факте</w:t>
      </w:r>
      <w:r w:rsidR="00AB5DD0" w:rsidRPr="00F47BEE">
        <w:rPr>
          <w:rFonts w:ascii="Times New Roman" w:hAnsi="Times New Roman"/>
          <w:color w:val="000000"/>
          <w:sz w:val="24"/>
          <w:szCs w:val="24"/>
        </w:rPr>
        <w:t xml:space="preserve"> и заблокировать банковские карты</w:t>
      </w:r>
      <w:r w:rsidRPr="00F47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5DD0" w:rsidRPr="00F47BEE">
        <w:rPr>
          <w:rFonts w:ascii="Times New Roman" w:hAnsi="Times New Roman"/>
          <w:color w:val="000000"/>
          <w:sz w:val="24"/>
          <w:szCs w:val="24"/>
        </w:rPr>
        <w:t>позвонив по телефонам</w:t>
      </w:r>
      <w:r w:rsidRPr="00F47BE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B5DD0" w:rsidRPr="00F47BEE" w:rsidRDefault="00AB5DD0" w:rsidP="00AB5DD0">
      <w:pPr>
        <w:pStyle w:val="a0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F47BEE">
        <w:rPr>
          <w:rFonts w:ascii="Times New Roman" w:hAnsi="Times New Roman"/>
          <w:b/>
          <w:sz w:val="24"/>
          <w:szCs w:val="24"/>
        </w:rPr>
        <w:tab/>
        <w:t>+7(495) 650-90-03 (в рабочее время, кроме выходных и праздничных дней);</w:t>
      </w:r>
    </w:p>
    <w:p w:rsidR="00AB5DD0" w:rsidRPr="00F47BEE" w:rsidRDefault="00AB5DD0" w:rsidP="00AB5DD0">
      <w:pPr>
        <w:pStyle w:val="a0"/>
        <w:numPr>
          <w:ilvl w:val="0"/>
          <w:numId w:val="0"/>
        </w:numPr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b/>
          <w:sz w:val="24"/>
          <w:szCs w:val="24"/>
        </w:rPr>
        <w:tab/>
        <w:t>+7(495) 723-77-21, +7(495) 723-78-21(круглосуточно).</w:t>
      </w:r>
    </w:p>
    <w:p w:rsidR="0065429C" w:rsidRPr="00F47BEE" w:rsidRDefault="00EF43AB" w:rsidP="002C2C54">
      <w:pPr>
        <w:pStyle w:val="a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bCs/>
          <w:color w:val="000000"/>
          <w:sz w:val="24"/>
          <w:szCs w:val="24"/>
        </w:rPr>
        <w:t>Права и обязанности Сторон</w:t>
      </w:r>
    </w:p>
    <w:p w:rsidR="0065429C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F47BEE">
        <w:rPr>
          <w:rFonts w:ascii="Times New Roman" w:hAnsi="Times New Roman"/>
          <w:b/>
          <w:bCs/>
          <w:sz w:val="24"/>
          <w:szCs w:val="24"/>
        </w:rPr>
        <w:t>Банк вправе:</w:t>
      </w:r>
    </w:p>
    <w:p w:rsidR="00011818" w:rsidRPr="00F47BEE" w:rsidRDefault="00EF43AB" w:rsidP="00C50B34">
      <w:pPr>
        <w:pStyle w:val="a1"/>
        <w:tabs>
          <w:tab w:val="clear" w:pos="523"/>
          <w:tab w:val="num" w:pos="709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Отказать Клиенту Банка в совершении операции по зарегистрированной Банковской карте в Мобильном платежном сервисе:</w:t>
      </w:r>
    </w:p>
    <w:p w:rsidR="00011818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если Клиент Банка не прошел проверку при регистрации Банковской карты в Мобильном платежном сервисе;</w:t>
      </w:r>
    </w:p>
    <w:p w:rsidR="00AE76F7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если операция противоречит требованиям действующего законодательства Российской Федерации, Правилам, Условиям или порядку осуществления данной операции, установленному Банком и/или Платежной системой и/или действующим законодательством Российской Федерации;</w:t>
      </w:r>
    </w:p>
    <w:p w:rsidR="00AE76F7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если Клиентом Банка не соблюдены требования действующего законодательства Российской Федерации, настоящих Дополнительных условий;</w:t>
      </w:r>
    </w:p>
    <w:p w:rsidR="00AE76F7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если у Банка возникли подозрения в том, что операция инициирована не Клиентом Банка;</w:t>
      </w:r>
    </w:p>
    <w:p w:rsidR="00AE76F7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если у Банка возникли подозрения, что операция осуществляется в целях легализации (отмывания) доходов, полученных преступным путем, и финансирования терроризма;</w:t>
      </w:r>
    </w:p>
    <w:p w:rsidR="00AE76F7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если Клиентом Банка в случаях и в сроки, предусмотренные действующим законодательством Российской Федерации, Правилами, Условиями, не предоставлены документы и сведения, необходимые для идентификации физических лиц, и/или раскрывающие экономический смысл и подтверждающие законный характер операций;</w:t>
      </w:r>
    </w:p>
    <w:p w:rsidR="00AE76F7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в иных случаях, предусмотренных Правилами, Условиями, действующим законодательством Российской Федерации.</w:t>
      </w:r>
    </w:p>
    <w:p w:rsidR="00AE76F7" w:rsidRPr="00F47BEE" w:rsidRDefault="00EF43AB" w:rsidP="00C50B34">
      <w:pPr>
        <w:pStyle w:val="a1"/>
        <w:tabs>
          <w:tab w:val="clear" w:pos="523"/>
          <w:tab w:val="num" w:pos="709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 xml:space="preserve">Ограничить, приостановить или прекратить использование Банковской карты по своему усмотрению, уведомив об этом Клиента Банка посредством направления </w:t>
      </w:r>
      <w:r w:rsidRPr="00F47BEE"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F47BEE">
        <w:rPr>
          <w:rFonts w:ascii="Times New Roman" w:hAnsi="Times New Roman"/>
          <w:color w:val="000000"/>
          <w:sz w:val="24"/>
          <w:szCs w:val="24"/>
        </w:rPr>
        <w:t>-сообщения/</w:t>
      </w:r>
      <w:r w:rsidRPr="00F47BEE">
        <w:rPr>
          <w:rFonts w:ascii="Times New Roman" w:hAnsi="Times New Roman"/>
          <w:color w:val="000000"/>
          <w:sz w:val="24"/>
          <w:szCs w:val="24"/>
          <w:lang w:val="en-US"/>
        </w:rPr>
        <w:t>Push</w:t>
      </w:r>
      <w:r w:rsidRPr="00F47BEE">
        <w:rPr>
          <w:rFonts w:ascii="Times New Roman" w:hAnsi="Times New Roman"/>
          <w:color w:val="000000"/>
          <w:sz w:val="24"/>
          <w:szCs w:val="24"/>
        </w:rPr>
        <w:t>-уведомления в случаях, указанных в п.6.1.1. настоящих Дополнительных условий.</w:t>
      </w:r>
    </w:p>
    <w:p w:rsidR="0065429C" w:rsidRPr="00F47BEE" w:rsidRDefault="00EF43AB" w:rsidP="00C50B34">
      <w:pPr>
        <w:pStyle w:val="a1"/>
        <w:tabs>
          <w:tab w:val="clear" w:pos="523"/>
          <w:tab w:val="num" w:pos="709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 xml:space="preserve">По своему усмотрению устанавливать лимиты на суммы и по количеству операций при совершении операции с использованием Банковской карты посредством Мобильного платежного сервиса. </w:t>
      </w:r>
    </w:p>
    <w:p w:rsidR="0065429C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</w:rPr>
      </w:pPr>
      <w:r w:rsidRPr="00F47BEE">
        <w:rPr>
          <w:rFonts w:ascii="Times New Roman" w:hAnsi="Times New Roman"/>
          <w:b/>
          <w:bCs/>
          <w:color w:val="000000"/>
          <w:sz w:val="24"/>
          <w:szCs w:val="24"/>
        </w:rPr>
        <w:t>Банк обязуется:</w:t>
      </w:r>
    </w:p>
    <w:p w:rsidR="0065429C" w:rsidRPr="00F47BEE" w:rsidRDefault="00EF43AB" w:rsidP="00C50B34">
      <w:pPr>
        <w:pStyle w:val="a1"/>
        <w:tabs>
          <w:tab w:val="clear" w:pos="523"/>
          <w:tab w:val="num" w:pos="709"/>
        </w:tabs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Предоставлять Клиенту Банка Услугу в соответствии с настоящими Дополнительными условиями.</w:t>
      </w:r>
    </w:p>
    <w:p w:rsidR="00AE76F7" w:rsidRPr="00F47BEE" w:rsidRDefault="00EF43AB" w:rsidP="00C50B34">
      <w:pPr>
        <w:pStyle w:val="a1"/>
        <w:tabs>
          <w:tab w:val="clear" w:pos="523"/>
          <w:tab w:val="num" w:pos="709"/>
        </w:tabs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 xml:space="preserve">Заблокировать </w:t>
      </w:r>
      <w:proofErr w:type="spellStart"/>
      <w:r w:rsidRPr="00F47BEE">
        <w:rPr>
          <w:rFonts w:ascii="Times New Roman" w:hAnsi="Times New Roman"/>
          <w:color w:val="000000"/>
          <w:sz w:val="24"/>
          <w:szCs w:val="24"/>
        </w:rPr>
        <w:t>Токен</w:t>
      </w:r>
      <w:proofErr w:type="spellEnd"/>
      <w:r w:rsidRPr="00F47BEE">
        <w:rPr>
          <w:rFonts w:ascii="Times New Roman" w:hAnsi="Times New Roman"/>
          <w:color w:val="000000"/>
          <w:sz w:val="24"/>
          <w:szCs w:val="24"/>
        </w:rPr>
        <w:t>(-ы) на данном Мобильном устройстве/Носимом устройстве Клиента Банка после получения соответствующего обращения Клиента</w:t>
      </w:r>
      <w:r w:rsidR="00DB424B" w:rsidRPr="00F47BEE">
        <w:rPr>
          <w:rFonts w:ascii="Times New Roman" w:hAnsi="Times New Roman"/>
          <w:color w:val="000000"/>
          <w:sz w:val="24"/>
          <w:szCs w:val="24"/>
        </w:rPr>
        <w:t xml:space="preserve"> Банка.</w:t>
      </w:r>
    </w:p>
    <w:p w:rsidR="0065429C" w:rsidRPr="00F47BEE" w:rsidRDefault="00EF43AB" w:rsidP="00C50B34">
      <w:pPr>
        <w:pStyle w:val="a1"/>
        <w:tabs>
          <w:tab w:val="clear" w:pos="523"/>
          <w:tab w:val="num" w:pos="709"/>
        </w:tabs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Информировать Клиента Банка о каждой операции, совершенной с использованием Банковской карты посредством Мобильного платежного сервиса в порядке и способами, предусмотренными Условиями. </w:t>
      </w:r>
    </w:p>
    <w:p w:rsidR="0065429C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b/>
          <w:bCs/>
          <w:color w:val="000000"/>
          <w:sz w:val="24"/>
          <w:szCs w:val="24"/>
        </w:rPr>
        <w:t>Клиент Банка вправе:</w:t>
      </w:r>
    </w:p>
    <w:p w:rsidR="00AE76F7" w:rsidRPr="00F47BEE" w:rsidRDefault="00EF43AB" w:rsidP="00C50B34">
      <w:pPr>
        <w:pStyle w:val="a1"/>
        <w:tabs>
          <w:tab w:val="clear" w:pos="523"/>
          <w:tab w:val="num" w:pos="709"/>
        </w:tabs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 xml:space="preserve">Приостановить действие </w:t>
      </w:r>
      <w:proofErr w:type="spellStart"/>
      <w:r w:rsidRPr="00F47BEE">
        <w:rPr>
          <w:rFonts w:ascii="Times New Roman" w:hAnsi="Times New Roman"/>
          <w:color w:val="000000"/>
          <w:sz w:val="24"/>
          <w:szCs w:val="24"/>
        </w:rPr>
        <w:t>Токена</w:t>
      </w:r>
      <w:proofErr w:type="spellEnd"/>
      <w:r w:rsidRPr="00F47BEE">
        <w:rPr>
          <w:rFonts w:ascii="Times New Roman" w:hAnsi="Times New Roman"/>
          <w:color w:val="000000"/>
          <w:sz w:val="24"/>
          <w:szCs w:val="24"/>
        </w:rPr>
        <w:t xml:space="preserve">/удалить </w:t>
      </w:r>
      <w:proofErr w:type="spellStart"/>
      <w:r w:rsidRPr="00F47BEE">
        <w:rPr>
          <w:rFonts w:ascii="Times New Roman" w:hAnsi="Times New Roman"/>
          <w:color w:val="000000"/>
          <w:sz w:val="24"/>
          <w:szCs w:val="24"/>
        </w:rPr>
        <w:t>Токен</w:t>
      </w:r>
      <w:proofErr w:type="spellEnd"/>
      <w:r w:rsidRPr="00F47BEE">
        <w:rPr>
          <w:rFonts w:ascii="Times New Roman" w:hAnsi="Times New Roman"/>
          <w:color w:val="000000"/>
          <w:sz w:val="24"/>
          <w:szCs w:val="24"/>
        </w:rPr>
        <w:t>, обратившись в Банк лично или через Контакт-центр Банка, или с помощью функции в Мобильном платежном сервисе. При обращении в Контакт-центр Банка Аутентификация по телефону Клиента Банка осуществляется в порядке, установленном Банком.</w:t>
      </w:r>
    </w:p>
    <w:p w:rsidR="0065429C" w:rsidRPr="00F47BEE" w:rsidRDefault="00EF43AB" w:rsidP="00C50B34">
      <w:pPr>
        <w:pStyle w:val="a1"/>
        <w:tabs>
          <w:tab w:val="clear" w:pos="523"/>
          <w:tab w:val="num" w:pos="709"/>
        </w:tabs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Обращаться в Банк с заявлениями, в том числе при возникновении споров, связанных с операциями, совершенными с использованием Банковской карты посредством Мобильного платежного сервиса, а также получать информацию о результатах рассмотрения заявлений в порядке, определенном Условиями.</w:t>
      </w:r>
    </w:p>
    <w:p w:rsidR="0065429C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b/>
          <w:bCs/>
          <w:color w:val="000000"/>
          <w:sz w:val="24"/>
          <w:szCs w:val="24"/>
        </w:rPr>
        <w:t>Клиент Банка обязуется:</w:t>
      </w:r>
    </w:p>
    <w:p w:rsidR="0065429C" w:rsidRPr="00F47BEE" w:rsidRDefault="00EF43AB" w:rsidP="00F47BEE">
      <w:pPr>
        <w:pStyle w:val="a1"/>
        <w:tabs>
          <w:tab w:val="clear" w:pos="523"/>
          <w:tab w:val="num" w:pos="709"/>
        </w:tabs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Соблюдать настоящие Дополнительные условия, Правила, Условия и условия договоров с третьими лицами (договоры с Компанией, о</w:t>
      </w:r>
      <w:r w:rsidRPr="00F47BEE">
        <w:rPr>
          <w:rFonts w:ascii="Times New Roman" w:hAnsi="Times New Roman"/>
          <w:sz w:val="24"/>
          <w:szCs w:val="24"/>
        </w:rPr>
        <w:t xml:space="preserve">ператором мобильной связи и другими сторонними поставщиками услуг, которые включены в систему платежных услуг). </w:t>
      </w:r>
    </w:p>
    <w:p w:rsidR="0065429C" w:rsidRPr="00F47BEE" w:rsidRDefault="00EF43AB" w:rsidP="00C50B34">
      <w:pPr>
        <w:pStyle w:val="a1"/>
        <w:tabs>
          <w:tab w:val="clear" w:pos="523"/>
          <w:tab w:val="num" w:pos="709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47BEE">
        <w:rPr>
          <w:rFonts w:ascii="Times New Roman" w:hAnsi="Times New Roman"/>
          <w:sz w:val="24"/>
          <w:szCs w:val="24"/>
        </w:rPr>
        <w:t>Соблюдать меры безопасности, указанные в настоящих Дополнительных условиях.</w:t>
      </w:r>
    </w:p>
    <w:p w:rsidR="003E76FB" w:rsidRPr="00F47BEE" w:rsidRDefault="00EF43AB" w:rsidP="00C50B34">
      <w:pPr>
        <w:pStyle w:val="a1"/>
        <w:tabs>
          <w:tab w:val="clear" w:pos="523"/>
          <w:tab w:val="num" w:pos="709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Оказывать содействие Банку при проведении расследований в случае несанкционированного списания денежных средств, предоставлять Банку необходимые документы и информацию.</w:t>
      </w:r>
    </w:p>
    <w:p w:rsidR="0065429C" w:rsidRPr="00F47BEE" w:rsidRDefault="00EF43AB" w:rsidP="003E76FB">
      <w:pPr>
        <w:pStyle w:val="a"/>
        <w:rPr>
          <w:rFonts w:ascii="Times New Roman" w:hAnsi="Times New Roman"/>
          <w:bCs/>
          <w:color w:val="000000"/>
          <w:sz w:val="24"/>
          <w:szCs w:val="24"/>
        </w:rPr>
      </w:pPr>
      <w:r w:rsidRPr="00F47BEE">
        <w:rPr>
          <w:rFonts w:ascii="Times New Roman" w:hAnsi="Times New Roman"/>
          <w:bCs/>
          <w:color w:val="000000"/>
          <w:sz w:val="24"/>
          <w:szCs w:val="24"/>
        </w:rPr>
        <w:t>Ответственность сторон</w:t>
      </w:r>
    </w:p>
    <w:p w:rsidR="003E76FB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Клиент Банка несет ответственность перед Банком в соответствии с требованиями действующего законодательства Российской Федерации, в том числе за убытки, возникшие у Банка в результате совершения операции с использованием Банковской карты посредством Мобильного платежного сервиса от имени Клиента Банка неуполномоченным лицом с использованием принадлежащего Клиенту Банка Мобильного устройства/Носимого устройства, Пароля, Отпечатка пальца, Биометрии лица и иной конфиденциальной информации.</w:t>
      </w:r>
    </w:p>
    <w:p w:rsidR="003E76FB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Клиент Банка несет ответственность перед Банком за убытки, возникшие у Банка в результате нарушения Клиентом Банка мер безопасности, указанных в настоящих Дополнительных условиях.</w:t>
      </w:r>
    </w:p>
    <w:p w:rsidR="003E76FB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 xml:space="preserve">Доступ, использование и обслуживание </w:t>
      </w:r>
      <w:proofErr w:type="spellStart"/>
      <w:r w:rsidRPr="00F47BEE">
        <w:rPr>
          <w:rFonts w:ascii="Times New Roman" w:hAnsi="Times New Roman"/>
          <w:color w:val="000000"/>
          <w:sz w:val="24"/>
          <w:szCs w:val="24"/>
        </w:rPr>
        <w:t>Токена</w:t>
      </w:r>
      <w:proofErr w:type="spellEnd"/>
      <w:r w:rsidRPr="00F47BEE">
        <w:rPr>
          <w:rFonts w:ascii="Times New Roman" w:hAnsi="Times New Roman"/>
          <w:color w:val="000000"/>
          <w:sz w:val="24"/>
          <w:szCs w:val="24"/>
        </w:rPr>
        <w:t xml:space="preserve"> зависят от владельца Мобильного платежного сервиса (Компании) и сети оператора беспроводной связи. Банк не является владельцем Мобильного платежного сервиса или указанной сети и не контролирует их действия. Банк не несет ответственность перед Клиентом Банка за любые обстоятельства, </w:t>
      </w:r>
      <w:r w:rsidR="00A30C24" w:rsidRPr="00F47BEE">
        <w:rPr>
          <w:rFonts w:ascii="Times New Roman" w:hAnsi="Times New Roman"/>
          <w:sz w:val="24"/>
          <w:szCs w:val="24"/>
        </w:rPr>
        <w:t xml:space="preserve">не входящие в зону ответственности Банка, </w:t>
      </w:r>
      <w:r w:rsidRPr="00F47BEE">
        <w:rPr>
          <w:rFonts w:ascii="Times New Roman" w:hAnsi="Times New Roman"/>
          <w:color w:val="000000"/>
          <w:sz w:val="24"/>
          <w:szCs w:val="24"/>
        </w:rPr>
        <w:t xml:space="preserve">которые могут прервать, создать препятствия или иным образом отразиться на функционировании любого </w:t>
      </w:r>
      <w:proofErr w:type="spellStart"/>
      <w:r w:rsidRPr="00F47BEE">
        <w:rPr>
          <w:rFonts w:ascii="Times New Roman" w:hAnsi="Times New Roman"/>
          <w:color w:val="000000"/>
          <w:sz w:val="24"/>
          <w:szCs w:val="24"/>
        </w:rPr>
        <w:t>Токена</w:t>
      </w:r>
      <w:proofErr w:type="spellEnd"/>
      <w:r w:rsidRPr="00F47BEE">
        <w:rPr>
          <w:rFonts w:ascii="Times New Roman" w:hAnsi="Times New Roman"/>
          <w:color w:val="000000"/>
          <w:sz w:val="24"/>
          <w:szCs w:val="24"/>
        </w:rPr>
        <w:t>, включая недоступность услуг Мобильного платежного сервиса или услуг беспроводной связи, коммуникаций, задержек сети, ограничений беспроводного покрытия, сбоев системы или прерывание беспроводной связи.</w:t>
      </w:r>
    </w:p>
    <w:p w:rsidR="0065429C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 xml:space="preserve">Банк не несет ответственности за безопасность, точность, законность, пригодность и другие аспекты содержания или функционирования </w:t>
      </w:r>
      <w:proofErr w:type="gramStart"/>
      <w:r w:rsidRPr="00F47BEE">
        <w:rPr>
          <w:rFonts w:ascii="Times New Roman" w:hAnsi="Times New Roman"/>
          <w:color w:val="000000"/>
          <w:sz w:val="24"/>
          <w:szCs w:val="24"/>
        </w:rPr>
        <w:t>продуктов</w:t>
      </w:r>
      <w:proofErr w:type="gramEnd"/>
      <w:r w:rsidRPr="00F47BEE">
        <w:rPr>
          <w:rFonts w:ascii="Times New Roman" w:hAnsi="Times New Roman"/>
          <w:color w:val="000000"/>
          <w:sz w:val="24"/>
          <w:szCs w:val="24"/>
        </w:rPr>
        <w:t xml:space="preserve"> или услуг Компании. </w:t>
      </w:r>
    </w:p>
    <w:p w:rsidR="0065429C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Банк не несет ответственности, а также не предоставляет клиентскую поддержку в отношении любого аппаратного или программного обеспечения третьей стороны, а также ее иных продуктов или услуг (включая Мобильный платежный сервис или Мобильное устройство/Носимое устройство). В случае возникновения любых вопросов в связи с использованием продуктов или услуг третьей стороны, Клиент Банка должен обращаться непосредственно к третьей стороне для получения клиентской поддержки.</w:t>
      </w:r>
    </w:p>
    <w:p w:rsidR="0065429C" w:rsidRPr="00F47BEE" w:rsidRDefault="00EF43AB" w:rsidP="003E76FB">
      <w:pPr>
        <w:pStyle w:val="a"/>
        <w:rPr>
          <w:rFonts w:ascii="Times New Roman" w:hAnsi="Times New Roman"/>
          <w:bCs/>
          <w:color w:val="000000"/>
          <w:sz w:val="24"/>
          <w:szCs w:val="24"/>
        </w:rPr>
      </w:pPr>
      <w:r w:rsidRPr="00F47BEE">
        <w:rPr>
          <w:rFonts w:ascii="Times New Roman" w:hAnsi="Times New Roman"/>
          <w:bCs/>
          <w:color w:val="000000"/>
          <w:sz w:val="24"/>
          <w:szCs w:val="24"/>
        </w:rPr>
        <w:lastRenderedPageBreak/>
        <w:t>Конфиденциальность</w:t>
      </w:r>
    </w:p>
    <w:p w:rsidR="0065429C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Клиент Банка ознакомлен и соглашается с тем, что Банк вправе осуществлять сбор, обработку и использование технических, личных данных Клиента Банка и связанной с ними информации включая, но, не ограничиваясь, данными о Мобильном устройстве/Носимом устройстве Клиента Банка, чтобы обеспечивать:</w:t>
      </w:r>
    </w:p>
    <w:p w:rsidR="003E76FB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взаимодействие с Мобильным платежным сервисом;</w:t>
      </w:r>
    </w:p>
    <w:p w:rsidR="003E76FB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предотвращение мошенничества;</w:t>
      </w:r>
    </w:p>
    <w:p w:rsidR="003E76FB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повышение безопасности оказываемой Услуги;</w:t>
      </w:r>
    </w:p>
    <w:p w:rsidR="0065429C" w:rsidRPr="00F47BEE" w:rsidRDefault="00EF43AB" w:rsidP="002968F6">
      <w:pPr>
        <w:pStyle w:val="a0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  <w:lang w:eastAsia="ru-RU"/>
        </w:rPr>
        <w:t>обновление и усовершенствование продуктов, услуг Банка.</w:t>
      </w:r>
    </w:p>
    <w:p w:rsidR="003E76FB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В остальном разрешение на использование и передачу информации, указанной в п.8.1 настоящих Дополнительных условий, регулируется в соответствии с настоящими Дополнительными условиями, Правилами, Условиями, другими договорами, заключенными между Клиентом Банка и Банком.</w:t>
      </w:r>
    </w:p>
    <w:p w:rsidR="003E76FB" w:rsidRPr="00F47BEE" w:rsidRDefault="00EF43AB" w:rsidP="00C50B34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>Условия сбора, обработки и использования информации, которую осуществляет Компания или третья сторона при совершении Клиентом Банка операций в рамках Мобильного платежного сервиса, регулируются договорами с третьими лицами, но не регулируются настоящими Дополнительными условиями.</w:t>
      </w:r>
    </w:p>
    <w:p w:rsidR="0065429C" w:rsidRPr="00F47BEE" w:rsidRDefault="00EF43AB" w:rsidP="002968F6">
      <w:pPr>
        <w:pStyle w:val="a0"/>
        <w:tabs>
          <w:tab w:val="clear" w:pos="523"/>
          <w:tab w:val="num" w:pos="709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47BEE">
        <w:rPr>
          <w:rFonts w:ascii="Times New Roman" w:hAnsi="Times New Roman"/>
          <w:color w:val="000000"/>
          <w:sz w:val="24"/>
          <w:szCs w:val="24"/>
        </w:rPr>
        <w:t xml:space="preserve">Банк не гарантирует конфиденциальность и безопасность передачи данных через сторонние подключения, не попадающие под контроль Банка. </w:t>
      </w:r>
    </w:p>
    <w:p w:rsidR="003C6987" w:rsidRPr="00F47BEE" w:rsidRDefault="00EF43AB" w:rsidP="003E76FB">
      <w:pPr>
        <w:pStyle w:val="a"/>
        <w:rPr>
          <w:rFonts w:ascii="Times New Roman" w:hAnsi="Times New Roman"/>
          <w:sz w:val="24"/>
          <w:szCs w:val="24"/>
        </w:rPr>
      </w:pPr>
      <w:r w:rsidRPr="00F47BEE">
        <w:rPr>
          <w:rFonts w:ascii="Times New Roman" w:hAnsi="Times New Roman"/>
          <w:sz w:val="24"/>
          <w:szCs w:val="24"/>
        </w:rPr>
        <w:t>пРОЧИЕ УСЛОВИЯ</w:t>
      </w:r>
    </w:p>
    <w:p w:rsidR="0063768A" w:rsidRPr="00F47BEE" w:rsidRDefault="00EF43AB" w:rsidP="002968F6">
      <w:pPr>
        <w:pStyle w:val="a0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  <w:lang w:eastAsia="ru-RU"/>
        </w:rPr>
      </w:pPr>
      <w:r w:rsidRPr="00F47BEE">
        <w:rPr>
          <w:rFonts w:ascii="Times New Roman" w:hAnsi="Times New Roman"/>
          <w:sz w:val="24"/>
          <w:szCs w:val="24"/>
        </w:rPr>
        <w:t>Настоящие Дополнительные условия являются неотъемлемой частью Условий. Все, что не определено настоящими Дополнительными условиями, определено Правилами, Условиями и обязательно для исполнения Сторонами (Банком, Клиентом Банка).</w:t>
      </w:r>
    </w:p>
    <w:sectPr w:rsidR="0063768A" w:rsidRPr="00F47BEE" w:rsidSect="00F759E2">
      <w:headerReference w:type="even" r:id="rId8"/>
      <w:headerReference w:type="default" r:id="rId9"/>
      <w:footerReference w:type="default" r:id="rId10"/>
      <w:pgSz w:w="11906" w:h="16838"/>
      <w:pgMar w:top="567" w:right="567" w:bottom="567" w:left="1134" w:header="709" w:footer="26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16" w:rsidRDefault="00821E16" w:rsidP="00DB424B">
      <w:pPr>
        <w:spacing w:after="0" w:line="240" w:lineRule="auto"/>
      </w:pPr>
      <w:r>
        <w:separator/>
      </w:r>
    </w:p>
  </w:endnote>
  <w:endnote w:type="continuationSeparator" w:id="0">
    <w:p w:rsidR="00821E16" w:rsidRDefault="00821E16" w:rsidP="00DB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882641"/>
      <w:docPartObj>
        <w:docPartGallery w:val="Page Numbers (Bottom of Page)"/>
        <w:docPartUnique/>
      </w:docPartObj>
    </w:sdtPr>
    <w:sdtContent>
      <w:p w:rsidR="00A11985" w:rsidRDefault="00A1198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759E2" w:rsidRDefault="00F759E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16" w:rsidRDefault="00821E16" w:rsidP="00DB424B">
      <w:pPr>
        <w:spacing w:after="0" w:line="240" w:lineRule="auto"/>
      </w:pPr>
      <w:r>
        <w:separator/>
      </w:r>
    </w:p>
  </w:footnote>
  <w:footnote w:type="continuationSeparator" w:id="0">
    <w:p w:rsidR="00821E16" w:rsidRDefault="00821E16" w:rsidP="00DB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92" w:rsidRDefault="009B6D04" w:rsidP="009F58F7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EF43A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37992" w:rsidRDefault="00A11985" w:rsidP="003D7D19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61" w:rsidRPr="00CE7961" w:rsidRDefault="00A11985" w:rsidP="00CE7961">
    <w:pPr>
      <w:pStyle w:val="af1"/>
      <w:spacing w:after="0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31A42D91"/>
    <w:multiLevelType w:val="hybridMultilevel"/>
    <w:tmpl w:val="9CD0726A"/>
    <w:lvl w:ilvl="0" w:tplc="59C40F12">
      <w:start w:val="1"/>
      <w:numFmt w:val="bullet"/>
      <w:pStyle w:val="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846525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7FC83B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4CA1C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1F8C35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5FC3EB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B8ADAD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87444E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AA8C14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2409D"/>
    <w:multiLevelType w:val="multilevel"/>
    <w:tmpl w:val="73BED06C"/>
    <w:lvl w:ilvl="0">
      <w:start w:val="1"/>
      <w:numFmt w:val="decimal"/>
      <w:pStyle w:val="a"/>
      <w:isLgl/>
      <w:suff w:val="space"/>
      <w:lvlText w:val="%1."/>
      <w:lvlJc w:val="left"/>
      <w:pPr>
        <w:ind w:left="1946" w:hanging="1406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523"/>
        </w:tabs>
        <w:ind w:left="523" w:hanging="709"/>
      </w:pPr>
      <w:rPr>
        <w:rFonts w:ascii="Times New Roman" w:hAnsi="Times New Roman" w:cs="Times New Roman" w:hint="default"/>
        <w:b/>
        <w:strike w:val="0"/>
        <w:sz w:val="24"/>
        <w:szCs w:val="24"/>
      </w:rPr>
    </w:lvl>
    <w:lvl w:ilvl="2">
      <w:start w:val="1"/>
      <w:numFmt w:val="decimal"/>
      <w:pStyle w:val="a1"/>
      <w:lvlText w:val="%1.%2.%3."/>
      <w:lvlJc w:val="left"/>
      <w:pPr>
        <w:tabs>
          <w:tab w:val="num" w:pos="523"/>
        </w:tabs>
        <w:ind w:left="523" w:hanging="709"/>
      </w:pPr>
      <w:rPr>
        <w:rFonts w:ascii="Times New Roman" w:hAnsi="Times New Roman" w:cs="Times New Roman" w:hint="default"/>
        <w:b/>
        <w:i w:val="0"/>
        <w:strike w:val="0"/>
        <w:sz w:val="24"/>
        <w:szCs w:val="24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534"/>
        </w:tabs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894"/>
        </w:tabs>
        <w:ind w:left="8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94"/>
        </w:tabs>
        <w:ind w:left="8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254"/>
        </w:tabs>
        <w:ind w:left="12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254"/>
        </w:tabs>
        <w:ind w:left="12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254"/>
        </w:tabs>
        <w:ind w:left="1254" w:hanging="1440"/>
      </w:pPr>
      <w:rPr>
        <w:rFonts w:hint="default"/>
        <w:b/>
      </w:rPr>
    </w:lvl>
  </w:abstractNum>
  <w:abstractNum w:abstractNumId="2" w15:restartNumberingAfterBreak="0">
    <w:nsid w:val="43F6063C"/>
    <w:multiLevelType w:val="hybridMultilevel"/>
    <w:tmpl w:val="ABB01874"/>
    <w:lvl w:ilvl="0" w:tplc="BD5016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E18F1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BB05B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762E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1BE88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5D29A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CA52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948BA9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98F2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D97BE9"/>
    <w:multiLevelType w:val="hybridMultilevel"/>
    <w:tmpl w:val="7FE036A4"/>
    <w:lvl w:ilvl="0" w:tplc="A6BCF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C4C9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E8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00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68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DEC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29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6F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61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4B"/>
    <w:rsid w:val="00014E37"/>
    <w:rsid w:val="00041D9D"/>
    <w:rsid w:val="0009607F"/>
    <w:rsid w:val="000C757B"/>
    <w:rsid w:val="00120E44"/>
    <w:rsid w:val="001906DD"/>
    <w:rsid w:val="00284B9D"/>
    <w:rsid w:val="00364721"/>
    <w:rsid w:val="00442039"/>
    <w:rsid w:val="004B33FB"/>
    <w:rsid w:val="005260DD"/>
    <w:rsid w:val="005A79C6"/>
    <w:rsid w:val="005C6DA6"/>
    <w:rsid w:val="00691A71"/>
    <w:rsid w:val="00801DB0"/>
    <w:rsid w:val="00821E16"/>
    <w:rsid w:val="0087352B"/>
    <w:rsid w:val="00890C1F"/>
    <w:rsid w:val="00897E1F"/>
    <w:rsid w:val="009B6D04"/>
    <w:rsid w:val="00A11985"/>
    <w:rsid w:val="00A30C24"/>
    <w:rsid w:val="00AB5DD0"/>
    <w:rsid w:val="00B814AA"/>
    <w:rsid w:val="00BF2CDB"/>
    <w:rsid w:val="00C36F4C"/>
    <w:rsid w:val="00CD23A6"/>
    <w:rsid w:val="00CD6EAC"/>
    <w:rsid w:val="00CF3891"/>
    <w:rsid w:val="00DB424B"/>
    <w:rsid w:val="00E253D3"/>
    <w:rsid w:val="00E86C3F"/>
    <w:rsid w:val="00EA27F4"/>
    <w:rsid w:val="00EF43AB"/>
    <w:rsid w:val="00F47BEE"/>
    <w:rsid w:val="00F759E2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05479E6-7B29-453E-A7EE-9E27D49C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D75D0"/>
    <w:pPr>
      <w:spacing w:after="200" w:line="276" w:lineRule="auto"/>
    </w:pPr>
    <w:rPr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semiHidden/>
    <w:rsid w:val="00D638D7"/>
    <w:rPr>
      <w:rFonts w:ascii="Tahoma" w:hAnsi="Tahoma" w:cs="Tahoma"/>
      <w:sz w:val="16"/>
      <w:szCs w:val="16"/>
    </w:rPr>
  </w:style>
  <w:style w:type="character" w:styleId="a8">
    <w:name w:val="annotation reference"/>
    <w:rsid w:val="00B83C11"/>
    <w:rPr>
      <w:sz w:val="16"/>
      <w:szCs w:val="16"/>
    </w:rPr>
  </w:style>
  <w:style w:type="paragraph" w:styleId="a9">
    <w:name w:val="annotation text"/>
    <w:basedOn w:val="a3"/>
    <w:link w:val="aa"/>
    <w:rsid w:val="00B83C11"/>
    <w:rPr>
      <w:sz w:val="20"/>
      <w:szCs w:val="20"/>
    </w:rPr>
  </w:style>
  <w:style w:type="paragraph" w:styleId="ab">
    <w:name w:val="annotation subject"/>
    <w:basedOn w:val="a9"/>
    <w:next w:val="a9"/>
    <w:semiHidden/>
    <w:rsid w:val="000959CA"/>
    <w:rPr>
      <w:b/>
      <w:bCs/>
    </w:rPr>
  </w:style>
  <w:style w:type="paragraph" w:customStyle="1" w:styleId="a">
    <w:name w:val="Раздел договора"/>
    <w:basedOn w:val="a3"/>
    <w:next w:val="a3"/>
    <w:rsid w:val="003D7D19"/>
    <w:pPr>
      <w:keepNext/>
      <w:keepLines/>
      <w:widowControl w:val="0"/>
      <w:numPr>
        <w:numId w:val="2"/>
      </w:numPr>
      <w:spacing w:before="240" w:line="240" w:lineRule="auto"/>
    </w:pPr>
    <w:rPr>
      <w:rFonts w:ascii="Arial" w:eastAsia="Times New Roman" w:hAnsi="Arial"/>
      <w:b/>
      <w:caps/>
      <w:sz w:val="20"/>
      <w:szCs w:val="20"/>
      <w:lang w:eastAsia="ru-RU"/>
    </w:rPr>
  </w:style>
  <w:style w:type="paragraph" w:customStyle="1" w:styleId="ac">
    <w:name w:val="Текстовый"/>
    <w:link w:val="ad"/>
    <w:rsid w:val="00C0599E"/>
    <w:pPr>
      <w:widowControl w:val="0"/>
      <w:jc w:val="both"/>
    </w:pPr>
    <w:rPr>
      <w:rFonts w:ascii="Arial" w:eastAsia="Times New Roman" w:hAnsi="Arial"/>
    </w:rPr>
  </w:style>
  <w:style w:type="character" w:customStyle="1" w:styleId="ad">
    <w:name w:val="Текстовый Знак"/>
    <w:link w:val="ac"/>
    <w:rsid w:val="00C0599E"/>
    <w:rPr>
      <w:rFonts w:ascii="Arial" w:hAnsi="Arial"/>
      <w:lang w:val="ru-RU" w:eastAsia="ru-RU" w:bidi="ar-SA"/>
    </w:rPr>
  </w:style>
  <w:style w:type="table" w:styleId="ae">
    <w:name w:val="Table Grid"/>
    <w:basedOn w:val="a5"/>
    <w:rsid w:val="00C059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Разновидность документа"/>
    <w:basedOn w:val="ac"/>
    <w:link w:val="af0"/>
    <w:rsid w:val="004A6E2F"/>
    <w:pPr>
      <w:spacing w:after="40"/>
      <w:jc w:val="center"/>
    </w:pPr>
    <w:rPr>
      <w:b/>
      <w:sz w:val="24"/>
    </w:rPr>
  </w:style>
  <w:style w:type="character" w:customStyle="1" w:styleId="af0">
    <w:name w:val="Разновидность документа Знак"/>
    <w:link w:val="af"/>
    <w:rsid w:val="004A6E2F"/>
    <w:rPr>
      <w:rFonts w:ascii="Arial" w:hAnsi="Arial"/>
      <w:b/>
      <w:sz w:val="24"/>
      <w:lang w:val="ru-RU" w:eastAsia="ru-RU" w:bidi="ar-SA"/>
    </w:rPr>
  </w:style>
  <w:style w:type="paragraph" w:customStyle="1" w:styleId="2">
    <w:name w:val="Стиль2"/>
    <w:basedOn w:val="a3"/>
    <w:autoRedefine/>
    <w:rsid w:val="004A6E2F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f1">
    <w:name w:val="header"/>
    <w:basedOn w:val="a3"/>
    <w:link w:val="af2"/>
    <w:uiPriority w:val="99"/>
    <w:rsid w:val="003D7D19"/>
    <w:pPr>
      <w:tabs>
        <w:tab w:val="center" w:pos="4677"/>
        <w:tab w:val="right" w:pos="9355"/>
      </w:tabs>
    </w:pPr>
  </w:style>
  <w:style w:type="paragraph" w:customStyle="1" w:styleId="a0">
    <w:name w:val="Пункт договора"/>
    <w:basedOn w:val="a3"/>
    <w:link w:val="af3"/>
    <w:rsid w:val="003D7D19"/>
    <w:pPr>
      <w:numPr>
        <w:ilvl w:val="1"/>
        <w:numId w:val="2"/>
      </w:numPr>
      <w:spacing w:after="0" w:line="240" w:lineRule="auto"/>
      <w:jc w:val="both"/>
    </w:pPr>
    <w:rPr>
      <w:rFonts w:ascii="Arial" w:hAnsi="Arial"/>
      <w:sz w:val="20"/>
    </w:rPr>
  </w:style>
  <w:style w:type="paragraph" w:customStyle="1" w:styleId="a1">
    <w:name w:val="Подпункт договора"/>
    <w:basedOn w:val="a3"/>
    <w:rsid w:val="003D7D19"/>
    <w:pPr>
      <w:numPr>
        <w:ilvl w:val="2"/>
        <w:numId w:val="2"/>
      </w:numPr>
    </w:pPr>
  </w:style>
  <w:style w:type="paragraph" w:customStyle="1" w:styleId="a2">
    <w:name w:val="Подподпункт договора"/>
    <w:basedOn w:val="a3"/>
    <w:rsid w:val="003D7D19"/>
    <w:pPr>
      <w:numPr>
        <w:ilvl w:val="3"/>
        <w:numId w:val="2"/>
      </w:numPr>
    </w:pPr>
  </w:style>
  <w:style w:type="character" w:styleId="af4">
    <w:name w:val="page number"/>
    <w:basedOn w:val="a4"/>
    <w:rsid w:val="003D7D19"/>
  </w:style>
  <w:style w:type="paragraph" w:styleId="af5">
    <w:name w:val="footer"/>
    <w:basedOn w:val="a3"/>
    <w:link w:val="af6"/>
    <w:uiPriority w:val="99"/>
    <w:rsid w:val="003D7D19"/>
    <w:pPr>
      <w:tabs>
        <w:tab w:val="center" w:pos="4677"/>
        <w:tab w:val="right" w:pos="9355"/>
      </w:tabs>
    </w:pPr>
  </w:style>
  <w:style w:type="character" w:customStyle="1" w:styleId="af3">
    <w:name w:val="Пункт договора Знак"/>
    <w:link w:val="a0"/>
    <w:rsid w:val="00FC2445"/>
    <w:rPr>
      <w:rFonts w:ascii="Arial" w:hAnsi="Arial"/>
      <w:szCs w:val="22"/>
      <w:lang w:eastAsia="en-US"/>
    </w:rPr>
  </w:style>
  <w:style w:type="character" w:styleId="af7">
    <w:name w:val="Hyperlink"/>
    <w:uiPriority w:val="99"/>
    <w:unhideWhenUsed/>
    <w:rsid w:val="00B65FD6"/>
    <w:rPr>
      <w:color w:val="0000FF"/>
      <w:u w:val="single"/>
    </w:rPr>
  </w:style>
  <w:style w:type="paragraph" w:customStyle="1" w:styleId="af8">
    <w:name w:val="Базовый"/>
    <w:rsid w:val="00FF4BF2"/>
    <w:pPr>
      <w:tabs>
        <w:tab w:val="left" w:pos="720"/>
      </w:tabs>
      <w:suppressAutoHyphens/>
      <w:spacing w:line="200" w:lineRule="atLeast"/>
      <w:jc w:val="both"/>
    </w:pPr>
    <w:rPr>
      <w:rFonts w:ascii="Arial" w:eastAsia="Arial" w:hAnsi="Arial" w:cs="Arial"/>
      <w:sz w:val="24"/>
      <w:szCs w:val="24"/>
      <w:lang w:eastAsia="en-US" w:bidi="ru-RU"/>
    </w:rPr>
  </w:style>
  <w:style w:type="paragraph" w:styleId="af9">
    <w:name w:val="endnote text"/>
    <w:basedOn w:val="a3"/>
    <w:link w:val="afa"/>
    <w:uiPriority w:val="99"/>
    <w:semiHidden/>
    <w:unhideWhenUsed/>
    <w:rsid w:val="0063768A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63768A"/>
    <w:rPr>
      <w:lang w:eastAsia="en-US"/>
    </w:rPr>
  </w:style>
  <w:style w:type="character" w:styleId="afb">
    <w:name w:val="endnote reference"/>
    <w:uiPriority w:val="99"/>
    <w:semiHidden/>
    <w:unhideWhenUsed/>
    <w:rsid w:val="0063768A"/>
    <w:rPr>
      <w:vertAlign w:val="superscript"/>
    </w:rPr>
  </w:style>
  <w:style w:type="character" w:styleId="afc">
    <w:name w:val="footnote reference"/>
    <w:semiHidden/>
    <w:rsid w:val="0063768A"/>
    <w:rPr>
      <w:vertAlign w:val="superscript"/>
    </w:rPr>
  </w:style>
  <w:style w:type="character" w:customStyle="1" w:styleId="info2">
    <w:name w:val="info2"/>
    <w:rsid w:val="004060BE"/>
    <w:rPr>
      <w:sz w:val="18"/>
      <w:szCs w:val="18"/>
    </w:rPr>
  </w:style>
  <w:style w:type="paragraph" w:styleId="afd">
    <w:name w:val="Title"/>
    <w:basedOn w:val="a3"/>
    <w:link w:val="afe"/>
    <w:qFormat/>
    <w:rsid w:val="009674E4"/>
    <w:pPr>
      <w:overflowPunct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0"/>
      <w:lang w:eastAsia="ru-RU"/>
    </w:rPr>
  </w:style>
  <w:style w:type="character" w:customStyle="1" w:styleId="afe">
    <w:name w:val="Название Знак"/>
    <w:link w:val="afd"/>
    <w:rsid w:val="009674E4"/>
    <w:rPr>
      <w:rFonts w:ascii="Times New Roman" w:eastAsia="Times New Roman" w:hAnsi="Times New Roman"/>
      <w:b/>
      <w:bCs/>
      <w:caps/>
      <w:sz w:val="28"/>
    </w:rPr>
  </w:style>
  <w:style w:type="paragraph" w:styleId="aff">
    <w:name w:val="Revision"/>
    <w:hidden/>
    <w:uiPriority w:val="99"/>
    <w:semiHidden/>
    <w:rsid w:val="008E4A18"/>
    <w:rPr>
      <w:sz w:val="22"/>
      <w:szCs w:val="22"/>
      <w:lang w:eastAsia="en-US"/>
    </w:rPr>
  </w:style>
  <w:style w:type="paragraph" w:customStyle="1" w:styleId="Default">
    <w:name w:val="Default"/>
    <w:rsid w:val="00B50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a">
    <w:name w:val="Текст примечания Знак"/>
    <w:link w:val="a9"/>
    <w:rsid w:val="00707904"/>
    <w:rPr>
      <w:lang w:eastAsia="en-US"/>
    </w:rPr>
  </w:style>
  <w:style w:type="paragraph" w:styleId="aff0">
    <w:name w:val="footnote text"/>
    <w:basedOn w:val="a3"/>
    <w:link w:val="aff1"/>
    <w:uiPriority w:val="99"/>
    <w:semiHidden/>
    <w:unhideWhenUsed/>
    <w:rsid w:val="008C5E24"/>
    <w:rPr>
      <w:sz w:val="20"/>
      <w:szCs w:val="20"/>
    </w:rPr>
  </w:style>
  <w:style w:type="character" w:customStyle="1" w:styleId="aff1">
    <w:name w:val="Текст сноски Знак"/>
    <w:link w:val="aff0"/>
    <w:uiPriority w:val="99"/>
    <w:semiHidden/>
    <w:rsid w:val="008C5E24"/>
    <w:rPr>
      <w:lang w:eastAsia="en-US"/>
    </w:rPr>
  </w:style>
  <w:style w:type="character" w:customStyle="1" w:styleId="af6">
    <w:name w:val="Нижний колонтитул Знак"/>
    <w:link w:val="af5"/>
    <w:uiPriority w:val="99"/>
    <w:rsid w:val="00CE7961"/>
    <w:rPr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uiPriority w:val="99"/>
    <w:rsid w:val="00CE7961"/>
    <w:rPr>
      <w:sz w:val="22"/>
      <w:szCs w:val="22"/>
      <w:lang w:eastAsia="en-US"/>
    </w:rPr>
  </w:style>
  <w:style w:type="paragraph" w:styleId="aff2">
    <w:name w:val="List Paragraph"/>
    <w:basedOn w:val="a3"/>
    <w:uiPriority w:val="34"/>
    <w:qFormat/>
    <w:rsid w:val="0087352B"/>
    <w:pPr>
      <w:ind w:left="720"/>
      <w:contextualSpacing/>
    </w:pPr>
  </w:style>
  <w:style w:type="paragraph" w:styleId="aff3">
    <w:name w:val="No Spacing"/>
    <w:uiPriority w:val="1"/>
    <w:qFormat/>
    <w:rsid w:val="00890C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№9</vt:lpstr>
    </vt:vector>
  </TitlesOfParts>
  <Company>Grizli777</Company>
  <LinksUpToDate>false</LinksUpToDate>
  <CharactersWithSpaces>21561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</dc:title>
  <dc:creator>Андрей</dc:creator>
  <cp:lastModifiedBy>Синельщикова Наталья Юрьевна</cp:lastModifiedBy>
  <cp:revision>5</cp:revision>
  <cp:lastPrinted>2022-03-21T15:26:00Z</cp:lastPrinted>
  <dcterms:created xsi:type="dcterms:W3CDTF">2022-03-21T15:06:00Z</dcterms:created>
  <dcterms:modified xsi:type="dcterms:W3CDTF">2022-03-23T09:53:00Z</dcterms:modified>
</cp:coreProperties>
</file>